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14108FC1" w:rsidR="00584ABE" w:rsidRPr="00A826B6" w:rsidRDefault="00E03DCD" w:rsidP="005923F4">
      <w:pPr>
        <w:pStyle w:val="3GPPHeader"/>
        <w:spacing w:after="60"/>
        <w:rPr>
          <w:rFonts w:ascii="Arial" w:hAnsi="Arial" w:cs="Arial"/>
        </w:rPr>
      </w:pPr>
      <w:bookmarkStart w:id="0" w:name="_Ref462817227"/>
      <w:r w:rsidRPr="00A826B6">
        <w:t>3GPP</w:t>
      </w:r>
      <w:r w:rsidR="00BB6996" w:rsidRPr="00A826B6">
        <w:t xml:space="preserve"> TSG-RAN WG1 #9</w:t>
      </w:r>
      <w:r w:rsidR="00E547B7" w:rsidRPr="00A826B6">
        <w:t>9</w:t>
      </w:r>
      <w:r w:rsidR="00B548DA" w:rsidRPr="00A826B6">
        <w:rPr>
          <w:rFonts w:ascii="Arial" w:hAnsi="Arial" w:cs="Arial"/>
        </w:rPr>
        <w:tab/>
      </w:r>
      <w:r w:rsidR="00783800" w:rsidRPr="00A826B6">
        <w:rPr>
          <w:rFonts w:ascii="Arial" w:hAnsi="Arial" w:cs="Arial"/>
        </w:rPr>
        <w:t>R1</w:t>
      </w:r>
      <w:r w:rsidR="008E1D88" w:rsidRPr="00A826B6">
        <w:rPr>
          <w:rFonts w:ascii="Arial" w:hAnsi="Arial" w:cs="Arial"/>
        </w:rPr>
        <w:t>-</w:t>
      </w:r>
      <w:r w:rsidR="00BB6996" w:rsidRPr="00A826B6">
        <w:rPr>
          <w:rFonts w:ascii="Arial" w:hAnsi="Arial" w:cs="Arial"/>
        </w:rPr>
        <w:t>19</w:t>
      </w:r>
      <w:r w:rsidR="00EB7925" w:rsidRPr="00A826B6">
        <w:rPr>
          <w:rFonts w:ascii="Arial" w:hAnsi="Arial" w:cs="Arial"/>
        </w:rPr>
        <w:t>1</w:t>
      </w:r>
      <w:r w:rsidR="00390834" w:rsidRPr="00390834">
        <w:rPr>
          <w:rFonts w:ascii="Arial" w:hAnsi="Arial" w:cs="Arial"/>
        </w:rPr>
        <w:t>3099</w:t>
      </w:r>
      <w:r w:rsidR="00EB7925" w:rsidRPr="00A826B6" w:rsidDel="00EB7925">
        <w:rPr>
          <w:rFonts w:ascii="Arial" w:hAnsi="Arial" w:cs="Arial"/>
        </w:rPr>
        <w:t xml:space="preserve"> </w:t>
      </w:r>
      <w:r w:rsidR="008D45F2" w:rsidRPr="00A826B6" w:rsidDel="00070695">
        <w:rPr>
          <w:rFonts w:ascii="Arial" w:hAnsi="Arial" w:cs="Arial"/>
        </w:rPr>
        <w:t xml:space="preserve"> </w:t>
      </w:r>
      <w:r w:rsidR="005A147F" w:rsidRPr="00A826B6" w:rsidDel="005A147F">
        <w:rPr>
          <w:rFonts w:ascii="Arial" w:hAnsi="Arial" w:cs="Arial"/>
        </w:rPr>
        <w:t xml:space="preserve"> </w:t>
      </w:r>
    </w:p>
    <w:p w14:paraId="7A9879CD" w14:textId="737563D4" w:rsidR="00584ABE" w:rsidRPr="007A3FE1" w:rsidRDefault="00E547B7" w:rsidP="005923F4">
      <w:pPr>
        <w:pStyle w:val="3GPPHeader"/>
        <w:spacing w:after="60"/>
        <w:rPr>
          <w:rFonts w:ascii="Arial" w:hAnsi="Arial" w:cs="Arial"/>
          <w:b w:val="0"/>
          <w:noProof/>
        </w:rPr>
      </w:pPr>
      <w:r>
        <w:t>Reno</w:t>
      </w:r>
      <w:r w:rsidR="00CB54FB">
        <w:t xml:space="preserve">, </w:t>
      </w:r>
      <w:r>
        <w:t>USA</w:t>
      </w:r>
      <w:r w:rsidR="00F66DDF">
        <w:t xml:space="preserve">, </w:t>
      </w:r>
      <w:r>
        <w:t>November</w:t>
      </w:r>
      <w:r w:rsidR="007A4031">
        <w:t xml:space="preserve"> </w:t>
      </w:r>
      <w:r w:rsidR="002C4130">
        <w:t>1</w:t>
      </w:r>
      <w:r>
        <w:t>8</w:t>
      </w:r>
      <w:r w:rsidR="007A4031" w:rsidRPr="00E666C9">
        <w:rPr>
          <w:vertAlign w:val="superscript"/>
        </w:rPr>
        <w:t>th</w:t>
      </w:r>
      <w:r w:rsidR="007A4031">
        <w:t xml:space="preserve"> – </w:t>
      </w:r>
      <w:r w:rsidR="002C4130">
        <w:t>2</w:t>
      </w:r>
      <w:r>
        <w:t>2</w:t>
      </w:r>
      <w:r w:rsidR="007A4031" w:rsidRPr="00E666C9">
        <w:rPr>
          <w:vertAlign w:val="superscript"/>
        </w:rPr>
        <w:t>th</w:t>
      </w:r>
      <w:r w:rsidR="00E03DCD">
        <w:t>, 2019</w:t>
      </w:r>
      <w:r w:rsidR="00F40C33">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6B535E80" w:rsidR="00584ABE" w:rsidRPr="007A3FE1" w:rsidRDefault="00783800" w:rsidP="005923F4">
      <w:pPr>
        <w:pStyle w:val="3GPPHeader"/>
        <w:rPr>
          <w:rFonts w:ascii="Arial" w:hAnsi="Arial" w:cs="Arial"/>
          <w:sz w:val="22"/>
        </w:rPr>
      </w:pPr>
      <w:r>
        <w:rPr>
          <w:rFonts w:ascii="Arial" w:hAnsi="Arial" w:cs="Arial"/>
          <w:sz w:val="22"/>
        </w:rPr>
        <w:t>Agenda Item:</w:t>
      </w:r>
      <w:r>
        <w:rPr>
          <w:rFonts w:ascii="Arial" w:hAnsi="Arial" w:cs="Arial"/>
          <w:sz w:val="22"/>
        </w:rPr>
        <w:tab/>
        <w:t>7</w:t>
      </w:r>
      <w:r w:rsidR="00584ABE" w:rsidRPr="007A3FE1">
        <w:rPr>
          <w:rFonts w:ascii="Arial" w:hAnsi="Arial" w:cs="Arial"/>
          <w:sz w:val="22"/>
        </w:rPr>
        <w:t>.</w:t>
      </w:r>
      <w:r w:rsidR="00F66DDF">
        <w:rPr>
          <w:rFonts w:ascii="Arial" w:hAnsi="Arial" w:cs="Arial"/>
          <w:sz w:val="22"/>
        </w:rPr>
        <w:t>2.2.2</w:t>
      </w:r>
      <w:r w:rsidR="00E03DCD">
        <w:rPr>
          <w:rFonts w:ascii="Arial" w:hAnsi="Arial" w:cs="Arial"/>
          <w:sz w:val="22"/>
        </w:rPr>
        <w:t>.5</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44027BCD"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BA52AA">
        <w:rPr>
          <w:rFonts w:ascii="Arial" w:hAnsi="Arial" w:cs="Arial"/>
          <w:sz w:val="22"/>
        </w:rPr>
        <w:t>Wideband operation in NR unlicensed</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77ED00B2" w14:textId="6B66293A" w:rsidR="00855482" w:rsidRPr="00C138FB" w:rsidRDefault="009B76F3" w:rsidP="002C4130">
      <w:pPr>
        <w:pStyle w:val="Proposal"/>
        <w:numPr>
          <w:ilvl w:val="0"/>
          <w:numId w:val="0"/>
        </w:numPr>
        <w:rPr>
          <w:rFonts w:ascii="Arial" w:eastAsia="MS Mincho" w:hAnsi="Arial" w:cs="Arial"/>
          <w:sz w:val="36"/>
          <w:szCs w:val="36"/>
        </w:rPr>
      </w:pPr>
      <w:r>
        <w:rPr>
          <w:rFonts w:ascii="Times New Roman" w:hAnsi="Times New Roman" w:cs="Times New Roman"/>
          <w:b w:val="0"/>
          <w:bCs w:val="0"/>
          <w:sz w:val="20"/>
          <w:szCs w:val="20"/>
          <w:lang w:eastAsia="en-US"/>
        </w:rPr>
        <w:t xml:space="preserve">In this paper, we discuss </w:t>
      </w:r>
      <w:r w:rsidR="003C3798">
        <w:rPr>
          <w:rFonts w:ascii="Times New Roman" w:hAnsi="Times New Roman" w:cs="Times New Roman"/>
          <w:b w:val="0"/>
          <w:bCs w:val="0"/>
          <w:sz w:val="20"/>
          <w:szCs w:val="20"/>
          <w:lang w:eastAsia="en-US"/>
        </w:rPr>
        <w:t xml:space="preserve">the remaining issues for </w:t>
      </w:r>
      <w:r>
        <w:rPr>
          <w:rFonts w:ascii="Times New Roman" w:hAnsi="Times New Roman" w:cs="Times New Roman"/>
          <w:b w:val="0"/>
          <w:bCs w:val="0"/>
          <w:sz w:val="20"/>
          <w:szCs w:val="20"/>
          <w:lang w:eastAsia="en-US"/>
        </w:rPr>
        <w:t>wideband operation</w:t>
      </w:r>
      <w:r w:rsidR="00D511FF">
        <w:rPr>
          <w:rFonts w:ascii="Times New Roman" w:hAnsi="Times New Roman" w:cs="Times New Roman"/>
          <w:b w:val="0"/>
          <w:bCs w:val="0"/>
          <w:sz w:val="20"/>
          <w:szCs w:val="20"/>
          <w:lang w:eastAsia="en-US"/>
        </w:rPr>
        <w:t xml:space="preserve">, including </w:t>
      </w:r>
      <w:r w:rsidR="005A6B1C">
        <w:rPr>
          <w:rFonts w:ascii="Times New Roman" w:hAnsi="Times New Roman" w:cs="Times New Roman"/>
          <w:b w:val="0"/>
          <w:bCs w:val="0"/>
          <w:sz w:val="20"/>
          <w:szCs w:val="20"/>
          <w:lang w:eastAsia="en-US"/>
        </w:rPr>
        <w:t xml:space="preserve">relationship between PDCCH and LBT bandwidth, </w:t>
      </w:r>
      <w:r w:rsidR="00D511FF">
        <w:rPr>
          <w:rFonts w:ascii="Times New Roman" w:hAnsi="Times New Roman" w:cs="Times New Roman"/>
          <w:b w:val="0"/>
          <w:bCs w:val="0"/>
          <w:sz w:val="20"/>
          <w:szCs w:val="20"/>
          <w:lang w:eastAsia="en-US"/>
        </w:rPr>
        <w:t xml:space="preserve">and </w:t>
      </w:r>
      <w:r w:rsidR="002C4130">
        <w:rPr>
          <w:rFonts w:ascii="Times New Roman" w:hAnsi="Times New Roman" w:cs="Times New Roman"/>
          <w:b w:val="0"/>
          <w:bCs w:val="0"/>
          <w:sz w:val="20"/>
          <w:szCs w:val="20"/>
          <w:lang w:eastAsia="en-US"/>
        </w:rPr>
        <w:t>in-carrier guard band</w:t>
      </w:r>
      <w:r w:rsidR="00D511FF">
        <w:rPr>
          <w:rFonts w:ascii="Times New Roman" w:hAnsi="Times New Roman" w:cs="Times New Roman"/>
          <w:b w:val="0"/>
          <w:bCs w:val="0"/>
          <w:sz w:val="20"/>
          <w:szCs w:val="20"/>
          <w:lang w:eastAsia="en-US"/>
        </w:rPr>
        <w:t>.</w:t>
      </w:r>
      <w:r w:rsidR="00F469E1">
        <w:rPr>
          <w:rFonts w:ascii="Times New Roman" w:hAnsi="Times New Roman" w:cs="Times New Roman"/>
          <w:sz w:val="20"/>
          <w:szCs w:val="20"/>
        </w:rPr>
        <w:t xml:space="preserve">    </w:t>
      </w:r>
      <w:r w:rsidR="00AC1910">
        <w:rPr>
          <w:rFonts w:ascii="Times New Roman" w:hAnsi="Times New Roman" w:cs="Times New Roman"/>
          <w:sz w:val="20"/>
          <w:szCs w:val="20"/>
        </w:rPr>
        <w:t xml:space="preserve"> </w:t>
      </w:r>
      <w:r w:rsidR="00B83B64" w:rsidRPr="00C138FB">
        <w:rPr>
          <w:rFonts w:ascii="Arial" w:eastAsia="MS Mincho" w:hAnsi="Arial" w:cs="Arial"/>
          <w:sz w:val="36"/>
          <w:szCs w:val="36"/>
        </w:rPr>
        <w:t xml:space="preserve"> </w:t>
      </w:r>
    </w:p>
    <w:p w14:paraId="48A31E8D" w14:textId="0FC6A9B9" w:rsidR="00415D3C" w:rsidRDefault="00415D3C" w:rsidP="00415D3C">
      <w:pPr>
        <w:pStyle w:val="Heading1"/>
        <w:rPr>
          <w:lang w:val="en-US"/>
        </w:rPr>
      </w:pPr>
      <w:r>
        <w:rPr>
          <w:lang w:val="en-US"/>
        </w:rPr>
        <w:t xml:space="preserve">PDCCH transmission </w:t>
      </w:r>
    </w:p>
    <w:p w14:paraId="660D2B7D" w14:textId="77777777" w:rsidR="000D1ECE" w:rsidRDefault="000D567C" w:rsidP="000D567C">
      <w:pPr>
        <w:rPr>
          <w:rFonts w:ascii="Times New Roman" w:eastAsia="MS Mincho" w:hAnsi="Times New Roman" w:cs="Times New Roman"/>
          <w:sz w:val="20"/>
          <w:szCs w:val="20"/>
        </w:rPr>
      </w:pPr>
      <w:r w:rsidRPr="000D567C">
        <w:rPr>
          <w:rFonts w:ascii="Times New Roman" w:eastAsia="MS Mincho" w:hAnsi="Times New Roman" w:cs="Times New Roman" w:hint="eastAsia"/>
          <w:sz w:val="20"/>
          <w:szCs w:val="20"/>
        </w:rPr>
        <w:t>In RAN1</w:t>
      </w:r>
      <w:r w:rsidRPr="000D567C">
        <w:rPr>
          <w:rFonts w:ascii="Times New Roman" w:eastAsia="MS Mincho" w:hAnsi="Times New Roman" w:cs="Times New Roman"/>
          <w:sz w:val="20"/>
          <w:szCs w:val="20"/>
        </w:rPr>
        <w:t xml:space="preserve">#98, </w:t>
      </w:r>
      <w:r w:rsidR="000D1ECE">
        <w:rPr>
          <w:rFonts w:ascii="Times New Roman" w:eastAsia="MS Mincho" w:hAnsi="Times New Roman" w:cs="Times New Roman"/>
          <w:sz w:val="20"/>
          <w:szCs w:val="20"/>
        </w:rPr>
        <w:t xml:space="preserve">some progress has been made regarding the relationship between PDCCH/CORESET configuration and LBT bandwidth for wideband operation. Specifically, the </w:t>
      </w:r>
      <w:r w:rsidRPr="000D567C">
        <w:rPr>
          <w:rFonts w:ascii="Times New Roman" w:eastAsia="MS Mincho" w:hAnsi="Times New Roman" w:cs="Times New Roman"/>
          <w:sz w:val="20"/>
          <w:szCs w:val="20"/>
        </w:rPr>
        <w:t xml:space="preserve">following conclusion/agreement were made. </w:t>
      </w:r>
    </w:p>
    <w:p w14:paraId="3E066A55" w14:textId="77777777" w:rsidR="000D1ECE" w:rsidRDefault="000D1ECE" w:rsidP="000D567C">
      <w:pPr>
        <w:rPr>
          <w:rFonts w:ascii="Times New Roman" w:eastAsia="MS Mincho" w:hAnsi="Times New Roman" w:cs="Times New Roman"/>
          <w:sz w:val="20"/>
          <w:szCs w:val="20"/>
        </w:rPr>
      </w:pPr>
    </w:p>
    <w:tbl>
      <w:tblPr>
        <w:tblStyle w:val="TableGrid1"/>
        <w:tblW w:w="0" w:type="auto"/>
        <w:tblLook w:val="04A0" w:firstRow="1" w:lastRow="0" w:firstColumn="1" w:lastColumn="0" w:noHBand="0" w:noVBand="1"/>
      </w:tblPr>
      <w:tblGrid>
        <w:gridCol w:w="9629"/>
      </w:tblGrid>
      <w:tr w:rsidR="000D1ECE" w:rsidRPr="000D567C" w14:paraId="71318135" w14:textId="77777777" w:rsidTr="002E4C30">
        <w:tc>
          <w:tcPr>
            <w:tcW w:w="9630" w:type="dxa"/>
          </w:tcPr>
          <w:p w14:paraId="30F6B14D" w14:textId="77777777" w:rsidR="000D1ECE" w:rsidRPr="000D567C" w:rsidRDefault="000D1ECE" w:rsidP="002E4C30">
            <w:pPr>
              <w:rPr>
                <w:rFonts w:ascii="Times New Roman" w:eastAsia="MS Mincho" w:hAnsi="Times New Roman" w:cs="Times New Roman"/>
                <w:sz w:val="20"/>
                <w:szCs w:val="20"/>
                <w:u w:val="single"/>
                <w:lang w:eastAsia="x-none"/>
              </w:rPr>
            </w:pPr>
            <w:r w:rsidRPr="000D567C">
              <w:rPr>
                <w:rFonts w:ascii="Times New Roman" w:eastAsia="MS Mincho" w:hAnsi="Times New Roman" w:cs="Times New Roman"/>
                <w:sz w:val="20"/>
                <w:szCs w:val="20"/>
                <w:u w:val="single"/>
                <w:lang w:eastAsia="x-none"/>
              </w:rPr>
              <w:t>Conclusion:</w:t>
            </w:r>
          </w:p>
          <w:p w14:paraId="02FC9458" w14:textId="77777777" w:rsidR="000D1ECE" w:rsidRPr="000D567C" w:rsidRDefault="000D1ECE" w:rsidP="002E4C30">
            <w:pPr>
              <w:rPr>
                <w:rFonts w:ascii="Times New Roman" w:eastAsia="MS Mincho" w:hAnsi="Times New Roman" w:cs="Times New Roman"/>
                <w:sz w:val="20"/>
                <w:szCs w:val="20"/>
                <w:lang w:eastAsia="ko-KR"/>
              </w:rPr>
            </w:pPr>
            <w:r w:rsidRPr="000D567C">
              <w:rPr>
                <w:rFonts w:ascii="Times New Roman" w:eastAsia="MS Mincho" w:hAnsi="Times New Roman" w:cs="Times New Roman"/>
                <w:sz w:val="20"/>
                <w:szCs w:val="20"/>
                <w:lang w:eastAsia="ko-KR"/>
              </w:rPr>
              <w:t>The following are unchanged from Rel-15 for PDCCH.</w:t>
            </w:r>
          </w:p>
          <w:p w14:paraId="2ED39E61" w14:textId="77777777" w:rsidR="000D1ECE" w:rsidRPr="000D567C" w:rsidRDefault="000D1ECE" w:rsidP="002E4C30">
            <w:pPr>
              <w:numPr>
                <w:ilvl w:val="0"/>
                <w:numId w:val="21"/>
              </w:numPr>
              <w:spacing w:line="256" w:lineRule="auto"/>
              <w:contextualSpacing/>
              <w:rPr>
                <w:rFonts w:ascii="Times New Roman" w:eastAsia="MS Mincho" w:hAnsi="Times New Roman" w:cs="Times New Roman"/>
                <w:sz w:val="20"/>
                <w:szCs w:val="20"/>
                <w:lang w:eastAsia="en-US"/>
              </w:rPr>
            </w:pPr>
            <w:r w:rsidRPr="000D567C">
              <w:rPr>
                <w:rFonts w:ascii="Times New Roman" w:eastAsia="MS Mincho" w:hAnsi="Times New Roman" w:cs="Times New Roman"/>
                <w:sz w:val="20"/>
                <w:szCs w:val="20"/>
                <w:lang w:eastAsia="en-US"/>
              </w:rPr>
              <w:t>The maximum number of monitored PDCCH candidates per slot and per serving cell.</w:t>
            </w:r>
          </w:p>
          <w:p w14:paraId="076FC1BE" w14:textId="77777777" w:rsidR="000D1ECE" w:rsidRPr="000D567C" w:rsidRDefault="000D1ECE" w:rsidP="002E4C30">
            <w:pPr>
              <w:numPr>
                <w:ilvl w:val="0"/>
                <w:numId w:val="21"/>
              </w:numPr>
              <w:spacing w:line="256" w:lineRule="auto"/>
              <w:contextualSpacing/>
              <w:rPr>
                <w:rFonts w:ascii="Times New Roman" w:eastAsia="MS Mincho" w:hAnsi="Times New Roman" w:cs="Times New Roman"/>
                <w:sz w:val="20"/>
                <w:szCs w:val="20"/>
                <w:lang w:eastAsia="en-US"/>
              </w:rPr>
            </w:pPr>
            <w:r w:rsidRPr="000D567C">
              <w:rPr>
                <w:rFonts w:ascii="Times New Roman" w:eastAsia="MS Mincho" w:hAnsi="Times New Roman" w:cs="Times New Roman"/>
                <w:sz w:val="20"/>
                <w:szCs w:val="20"/>
                <w:lang w:eastAsia="en-US"/>
              </w:rPr>
              <w:t>The maximum number of non-overlapped CCEs per slot and per serving cell.</w:t>
            </w:r>
          </w:p>
          <w:p w14:paraId="6568399D" w14:textId="77777777" w:rsidR="000D1ECE" w:rsidRPr="000D567C" w:rsidRDefault="000D1ECE" w:rsidP="002E4C30">
            <w:pPr>
              <w:numPr>
                <w:ilvl w:val="0"/>
                <w:numId w:val="21"/>
              </w:numPr>
              <w:spacing w:line="256" w:lineRule="auto"/>
              <w:contextualSpacing/>
              <w:rPr>
                <w:rFonts w:ascii="Times New Roman" w:eastAsia="MS Mincho" w:hAnsi="Times New Roman" w:cs="Times New Roman"/>
                <w:sz w:val="20"/>
                <w:szCs w:val="20"/>
                <w:lang w:eastAsia="en-US"/>
              </w:rPr>
            </w:pPr>
            <w:r w:rsidRPr="000D567C">
              <w:rPr>
                <w:rFonts w:ascii="Times New Roman" w:eastAsia="MS Mincho" w:hAnsi="Times New Roman" w:cs="Times New Roman"/>
                <w:sz w:val="20"/>
                <w:szCs w:val="20"/>
                <w:lang w:eastAsia="en-US"/>
              </w:rPr>
              <w:t>CCE-to-REG mapping rule and hashing function.</w:t>
            </w:r>
          </w:p>
          <w:p w14:paraId="6A772096" w14:textId="77777777" w:rsidR="000D1ECE" w:rsidRPr="000D567C" w:rsidRDefault="000D1ECE" w:rsidP="002E4C30">
            <w:pPr>
              <w:spacing w:line="256" w:lineRule="auto"/>
              <w:ind w:firstLineChars="200" w:firstLine="400"/>
              <w:contextualSpacing/>
              <w:rPr>
                <w:rFonts w:ascii="Times New Roman" w:eastAsia="MS Mincho" w:hAnsi="Times New Roman" w:cs="Times New Roman"/>
                <w:sz w:val="20"/>
                <w:szCs w:val="20"/>
                <w:lang w:eastAsia="en-US"/>
              </w:rPr>
            </w:pPr>
          </w:p>
          <w:p w14:paraId="772A118D" w14:textId="77777777" w:rsidR="000D1ECE" w:rsidRPr="000D567C" w:rsidRDefault="000D1ECE" w:rsidP="002E4C30">
            <w:pPr>
              <w:spacing w:line="257" w:lineRule="auto"/>
              <w:contextualSpacing/>
              <w:rPr>
                <w:rFonts w:ascii="Times New Roman" w:eastAsia="MS Mincho" w:hAnsi="Times New Roman" w:cs="Times New Roman"/>
                <w:sz w:val="20"/>
                <w:szCs w:val="20"/>
                <w:lang w:eastAsia="en-US"/>
              </w:rPr>
            </w:pPr>
            <w:r w:rsidRPr="000D567C">
              <w:rPr>
                <w:rFonts w:ascii="Times New Roman" w:eastAsia="MS Mincho" w:hAnsi="Times New Roman" w:cs="Times New Roman"/>
                <w:sz w:val="20"/>
                <w:szCs w:val="20"/>
                <w:highlight w:val="green"/>
                <w:lang w:eastAsia="en-US"/>
              </w:rPr>
              <w:t>Agreement:</w:t>
            </w:r>
          </w:p>
          <w:p w14:paraId="23F0401E" w14:textId="77777777" w:rsidR="000D1ECE" w:rsidRPr="000D567C" w:rsidRDefault="000D1ECE" w:rsidP="002E4C30">
            <w:pPr>
              <w:rPr>
                <w:rFonts w:ascii="Times New Roman" w:eastAsia="MS Mincho" w:hAnsi="Times New Roman" w:cs="Times New Roman"/>
                <w:sz w:val="20"/>
                <w:szCs w:val="20"/>
                <w:lang w:eastAsia="ko-KR"/>
              </w:rPr>
            </w:pPr>
            <w:r w:rsidRPr="000D567C">
              <w:rPr>
                <w:rFonts w:ascii="Times New Roman" w:eastAsia="MS Mincho" w:hAnsi="Times New Roman" w:cs="Times New Roman"/>
                <w:sz w:val="20"/>
                <w:szCs w:val="20"/>
                <w:lang w:eastAsia="ko-KR"/>
              </w:rPr>
              <w:t xml:space="preserve">For CORESET configuration in a serving cell with carrier bandwidth greater than LBT bandwidth, </w:t>
            </w:r>
          </w:p>
          <w:p w14:paraId="52D875F8" w14:textId="77777777" w:rsidR="000D1ECE" w:rsidRPr="000D567C" w:rsidRDefault="000D1ECE" w:rsidP="002E4C30">
            <w:pPr>
              <w:numPr>
                <w:ilvl w:val="0"/>
                <w:numId w:val="21"/>
              </w:numPr>
              <w:spacing w:line="256" w:lineRule="auto"/>
              <w:contextualSpacing/>
              <w:rPr>
                <w:rFonts w:ascii="Times New Roman" w:eastAsia="MS Mincho" w:hAnsi="Times New Roman" w:cs="Times New Roman"/>
                <w:sz w:val="20"/>
                <w:szCs w:val="20"/>
                <w:lang w:eastAsia="en-US"/>
              </w:rPr>
            </w:pPr>
            <w:r w:rsidRPr="000D567C">
              <w:rPr>
                <w:rFonts w:ascii="Times New Roman" w:eastAsia="MS Mincho" w:hAnsi="Times New Roman" w:cs="Times New Roman"/>
                <w:sz w:val="20"/>
                <w:szCs w:val="20"/>
                <w:lang w:eastAsia="en-US"/>
              </w:rPr>
              <w:t xml:space="preserve">For the case where a CORESET is confined within a LBT bandwidth, </w:t>
            </w:r>
            <w:bookmarkStart w:id="1" w:name="_Hlk19614483"/>
            <w:r w:rsidRPr="000D567C">
              <w:rPr>
                <w:rFonts w:ascii="Times New Roman" w:eastAsia="MS Mincho" w:hAnsi="Times New Roman" w:cs="Times New Roman"/>
                <w:sz w:val="20"/>
                <w:szCs w:val="20"/>
                <w:lang w:eastAsia="en-US"/>
              </w:rPr>
              <w:t>the search space set configuration associated with the CORESET can have multiple monitoring locations in the frequency domain (</w:t>
            </w:r>
            <w:bookmarkEnd w:id="1"/>
            <w:r w:rsidRPr="000D567C">
              <w:rPr>
                <w:rFonts w:ascii="Times New Roman" w:eastAsia="MS Mincho" w:hAnsi="Times New Roman" w:cs="Times New Roman"/>
                <w:sz w:val="20"/>
                <w:szCs w:val="20"/>
                <w:lang w:eastAsia="en-US"/>
              </w:rPr>
              <w:t>per LBT bandwidth)</w:t>
            </w:r>
          </w:p>
          <w:p w14:paraId="55329857" w14:textId="77777777" w:rsidR="000D1ECE" w:rsidRPr="000D567C" w:rsidRDefault="000D1ECE" w:rsidP="002E4C30">
            <w:pPr>
              <w:numPr>
                <w:ilvl w:val="1"/>
                <w:numId w:val="21"/>
              </w:numPr>
              <w:spacing w:line="256" w:lineRule="auto"/>
              <w:contextualSpacing/>
              <w:rPr>
                <w:rFonts w:ascii="Times New Roman" w:eastAsia="MS Mincho" w:hAnsi="Times New Roman" w:cs="Times New Roman"/>
                <w:sz w:val="20"/>
                <w:szCs w:val="20"/>
                <w:lang w:eastAsia="en-US"/>
              </w:rPr>
            </w:pPr>
            <w:r w:rsidRPr="000D567C">
              <w:rPr>
                <w:rFonts w:ascii="Times New Roman" w:eastAsia="MS Mincho" w:hAnsi="Times New Roman" w:cs="Times New Roman"/>
                <w:sz w:val="20"/>
                <w:szCs w:val="20"/>
                <w:lang w:eastAsia="en-US"/>
              </w:rPr>
              <w:t>Send an LS to RAN2 informing them of this agreement and providing clarifications on the above if necessary</w:t>
            </w:r>
          </w:p>
          <w:p w14:paraId="110B1501" w14:textId="77777777" w:rsidR="000D1ECE" w:rsidRPr="000D567C" w:rsidRDefault="000D1ECE" w:rsidP="002E4C30">
            <w:pPr>
              <w:numPr>
                <w:ilvl w:val="0"/>
                <w:numId w:val="21"/>
              </w:numPr>
              <w:spacing w:line="257" w:lineRule="auto"/>
              <w:contextualSpacing/>
              <w:rPr>
                <w:rFonts w:ascii="Times New Roman" w:eastAsia="MS Mincho" w:hAnsi="Times New Roman" w:cs="Times New Roman"/>
                <w:sz w:val="20"/>
                <w:szCs w:val="20"/>
              </w:rPr>
            </w:pPr>
            <w:r w:rsidRPr="000D567C">
              <w:rPr>
                <w:rFonts w:ascii="Times New Roman" w:eastAsia="MS Mincho" w:hAnsi="Times New Roman" w:cs="Times New Roman"/>
                <w:sz w:val="20"/>
                <w:szCs w:val="20"/>
                <w:lang w:eastAsia="en-US"/>
              </w:rPr>
              <w:t>Note: For scenarios in which gNB transmits PDCCH/PDSCH on a single BWP if CCA is successful at gNB for the whole BWP, CORESET(s) need not all be confined within an LBT bandwidth, and no specification impact is foreseen</w:t>
            </w:r>
          </w:p>
        </w:tc>
      </w:tr>
    </w:tbl>
    <w:p w14:paraId="6F27F0AD" w14:textId="77777777" w:rsidR="000D1ECE" w:rsidRDefault="000D1ECE" w:rsidP="000D567C">
      <w:pPr>
        <w:rPr>
          <w:rFonts w:ascii="Times New Roman" w:eastAsia="MS Mincho" w:hAnsi="Times New Roman" w:cs="Times New Roman"/>
          <w:sz w:val="20"/>
          <w:szCs w:val="20"/>
        </w:rPr>
      </w:pPr>
    </w:p>
    <w:p w14:paraId="6CEAF721" w14:textId="65F84CA1" w:rsidR="00E547B7" w:rsidRDefault="000D567C" w:rsidP="000D567C">
      <w:pPr>
        <w:rPr>
          <w:rFonts w:ascii="Times New Roman" w:eastAsia="MS Mincho" w:hAnsi="Times New Roman" w:cs="Times New Roman"/>
          <w:sz w:val="20"/>
          <w:szCs w:val="20"/>
        </w:rPr>
      </w:pPr>
      <w:r w:rsidRPr="000D567C">
        <w:rPr>
          <w:rFonts w:ascii="Times New Roman" w:eastAsia="MS Mincho" w:hAnsi="Times New Roman" w:cs="Times New Roman"/>
          <w:sz w:val="20"/>
          <w:szCs w:val="20"/>
        </w:rPr>
        <w:t xml:space="preserve">For the agreement, the motivation is to </w:t>
      </w:r>
      <w:r w:rsidRPr="000D567C">
        <w:rPr>
          <w:rFonts w:ascii="Times New Roman" w:eastAsia="MS Mincho" w:hAnsi="Times New Roman" w:cs="Times New Roman"/>
          <w:sz w:val="20"/>
          <w:szCs w:val="20"/>
          <w:lang w:val="en" w:eastAsia="en-US"/>
        </w:rPr>
        <w:t xml:space="preserve">ensure </w:t>
      </w:r>
      <w:r w:rsidRPr="000D567C">
        <w:rPr>
          <w:rFonts w:ascii="Times New Roman" w:eastAsia="MS Mincho" w:hAnsi="Times New Roman" w:cs="Times New Roman"/>
          <w:sz w:val="20"/>
          <w:szCs w:val="20"/>
        </w:rPr>
        <w:t xml:space="preserve">the number of CORESETs does not exceed </w:t>
      </w:r>
      <w:r w:rsidRPr="000D567C">
        <w:rPr>
          <w:rFonts w:ascii="Times New Roman" w:hAnsi="Times New Roman" w:cs="Times New Roman"/>
          <w:sz w:val="20"/>
          <w:szCs w:val="20"/>
        </w:rPr>
        <w:t>the</w:t>
      </w:r>
      <w:r w:rsidRPr="000D567C">
        <w:rPr>
          <w:rFonts w:ascii="Times New Roman" w:eastAsia="MS Mincho" w:hAnsi="Times New Roman" w:cs="Times New Roman"/>
          <w:sz w:val="20"/>
          <w:szCs w:val="20"/>
        </w:rPr>
        <w:t xml:space="preserve"> limit (</w:t>
      </w:r>
      <w:r w:rsidR="00A47529">
        <w:rPr>
          <w:rFonts w:ascii="Times New Roman" w:eastAsia="MS Mincho" w:hAnsi="Times New Roman" w:cs="Times New Roman"/>
          <w:sz w:val="20"/>
          <w:szCs w:val="20"/>
        </w:rPr>
        <w:t>such as 3</w:t>
      </w:r>
      <w:r w:rsidR="00D75AEE">
        <w:rPr>
          <w:rFonts w:ascii="Times New Roman" w:eastAsia="MS Mincho" w:hAnsi="Times New Roman" w:cs="Times New Roman"/>
          <w:sz w:val="20"/>
          <w:szCs w:val="20"/>
        </w:rPr>
        <w:t xml:space="preserve"> per BWP for Rel-15), but at the same time to enable UE to monitor multiple LBT bandwidths (potentially, larger than 3) for PDCCH</w:t>
      </w:r>
      <w:r w:rsidR="00A47529">
        <w:rPr>
          <w:rFonts w:ascii="Times New Roman" w:eastAsia="MS Mincho" w:hAnsi="Times New Roman" w:cs="Times New Roman"/>
          <w:sz w:val="20"/>
          <w:szCs w:val="20"/>
        </w:rPr>
        <w:t>.</w:t>
      </w:r>
      <w:r w:rsidR="00AE533D">
        <w:rPr>
          <w:rFonts w:ascii="Times New Roman" w:eastAsia="MS Mincho" w:hAnsi="Times New Roman" w:cs="Times New Roman"/>
          <w:sz w:val="20"/>
          <w:szCs w:val="20"/>
        </w:rPr>
        <w:t xml:space="preserve"> </w:t>
      </w:r>
      <w:r w:rsidR="00E547B7">
        <w:rPr>
          <w:rFonts w:ascii="Times New Roman" w:eastAsia="MS Mincho" w:hAnsi="Times New Roman" w:cs="Times New Roman"/>
          <w:sz w:val="20"/>
          <w:szCs w:val="20"/>
        </w:rPr>
        <w:t>Therefore, new configuration has been introduced to support duplicating one search space set into multiple frequency domain monitoring locations. The above intention becomes clearer by the follow-up agreement in RAN1#98bis, as shown below.</w:t>
      </w:r>
    </w:p>
    <w:tbl>
      <w:tblPr>
        <w:tblStyle w:val="TableGrid"/>
        <w:tblW w:w="0" w:type="auto"/>
        <w:tblLook w:val="04A0" w:firstRow="1" w:lastRow="0" w:firstColumn="1" w:lastColumn="0" w:noHBand="0" w:noVBand="1"/>
      </w:tblPr>
      <w:tblGrid>
        <w:gridCol w:w="9629"/>
      </w:tblGrid>
      <w:tr w:rsidR="00E547B7" w14:paraId="0C99B37B" w14:textId="77777777" w:rsidTr="00E547B7">
        <w:tc>
          <w:tcPr>
            <w:tcW w:w="9629" w:type="dxa"/>
          </w:tcPr>
          <w:p w14:paraId="71835F2E" w14:textId="77777777" w:rsidR="00E547B7" w:rsidRPr="00E547B7" w:rsidRDefault="00E547B7" w:rsidP="00E547B7">
            <w:pPr>
              <w:spacing w:after="0" w:line="240" w:lineRule="auto"/>
              <w:rPr>
                <w:rFonts w:ascii="Times" w:eastAsia="Batang" w:hAnsi="Times" w:cs="Times New Roman"/>
                <w:sz w:val="20"/>
                <w:szCs w:val="24"/>
              </w:rPr>
            </w:pPr>
            <w:r w:rsidRPr="00E547B7">
              <w:rPr>
                <w:rFonts w:ascii="Times" w:eastAsia="Batang" w:hAnsi="Times" w:cs="Times New Roman"/>
                <w:sz w:val="20"/>
                <w:szCs w:val="24"/>
                <w:highlight w:val="green"/>
              </w:rPr>
              <w:t>Agreement:</w:t>
            </w:r>
          </w:p>
          <w:p w14:paraId="57E7655D" w14:textId="77777777" w:rsidR="00E547B7" w:rsidRPr="00E547B7" w:rsidRDefault="00E547B7" w:rsidP="00E547B7">
            <w:pPr>
              <w:spacing w:after="0" w:line="240" w:lineRule="auto"/>
              <w:jc w:val="both"/>
              <w:rPr>
                <w:rFonts w:ascii="Times" w:eastAsia="Batang" w:hAnsi="Times" w:cs="Times New Roman"/>
                <w:sz w:val="20"/>
                <w:szCs w:val="24"/>
                <w:lang w:eastAsia="x-none"/>
              </w:rPr>
            </w:pPr>
            <w:r w:rsidRPr="00E547B7">
              <w:rPr>
                <w:rFonts w:ascii="Times" w:eastAsia="Batang" w:hAnsi="Times" w:cs="Times New Roman"/>
                <w:sz w:val="20"/>
                <w:szCs w:val="24"/>
                <w:lang w:eastAsia="x-none"/>
              </w:rPr>
              <w:t>For a search space set configuration associated with multiple monitoring locations in the frequency domain (as per the previous agreement defining such a search space set associated with a CORESET confined within an LBT bandwidth):</w:t>
            </w:r>
          </w:p>
          <w:p w14:paraId="63289226" w14:textId="77777777" w:rsidR="00E547B7" w:rsidRPr="00E547B7" w:rsidRDefault="00E547B7" w:rsidP="00E547B7">
            <w:pPr>
              <w:numPr>
                <w:ilvl w:val="0"/>
                <w:numId w:val="22"/>
              </w:numPr>
              <w:spacing w:after="0" w:line="240" w:lineRule="auto"/>
              <w:rPr>
                <w:rFonts w:ascii="Times" w:eastAsia="Batang" w:hAnsi="Times" w:cs="Times New Roman"/>
                <w:sz w:val="20"/>
                <w:szCs w:val="24"/>
              </w:rPr>
            </w:pPr>
            <w:r w:rsidRPr="00E547B7">
              <w:rPr>
                <w:rFonts w:ascii="Times" w:eastAsia="Batang" w:hAnsi="Times" w:cs="Times New Roman"/>
                <w:sz w:val="20"/>
                <w:szCs w:val="24"/>
              </w:rPr>
              <w:lastRenderedPageBreak/>
              <w:t xml:space="preserve">PRBs allocated by </w:t>
            </w:r>
            <w:r w:rsidRPr="00E547B7">
              <w:rPr>
                <w:rFonts w:ascii="Times" w:eastAsia="Batang" w:hAnsi="Times" w:cs="Times New Roman"/>
                <w:i/>
                <w:sz w:val="20"/>
                <w:szCs w:val="24"/>
              </w:rPr>
              <w:t>frequencyDomainResources</w:t>
            </w:r>
            <w:r w:rsidRPr="00E547B7">
              <w:rPr>
                <w:rFonts w:ascii="Times" w:eastAsia="Batang" w:hAnsi="Times" w:cs="Times New Roman"/>
                <w:sz w:val="20"/>
                <w:szCs w:val="24"/>
              </w:rPr>
              <w:t xml:space="preserve"> in the CORESET configuration are confined within one of LBT bandwidths within the BWP corresponding to the CORESET.</w:t>
            </w:r>
          </w:p>
          <w:p w14:paraId="267BB531" w14:textId="77777777" w:rsidR="00E547B7" w:rsidRPr="00E547B7" w:rsidRDefault="00E547B7" w:rsidP="00E547B7">
            <w:pPr>
              <w:numPr>
                <w:ilvl w:val="0"/>
                <w:numId w:val="22"/>
              </w:numPr>
              <w:spacing w:after="0" w:line="240" w:lineRule="auto"/>
              <w:rPr>
                <w:rFonts w:ascii="Times" w:eastAsia="Batang" w:hAnsi="Times" w:cs="Times New Roman"/>
                <w:sz w:val="20"/>
                <w:szCs w:val="24"/>
              </w:rPr>
            </w:pPr>
            <w:r w:rsidRPr="00E547B7">
              <w:rPr>
                <w:rFonts w:ascii="Times" w:eastAsia="Batang" w:hAnsi="Times" w:cs="Times New Roman"/>
                <w:sz w:val="20"/>
                <w:szCs w:val="24"/>
              </w:rP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72E2D62A" w14:textId="77777777" w:rsidR="00E547B7" w:rsidRPr="00E547B7" w:rsidRDefault="00E547B7" w:rsidP="00E547B7">
            <w:pPr>
              <w:numPr>
                <w:ilvl w:val="1"/>
                <w:numId w:val="22"/>
              </w:numPr>
              <w:spacing w:after="0" w:line="240" w:lineRule="auto"/>
              <w:rPr>
                <w:rFonts w:ascii="Times" w:eastAsia="Batang" w:hAnsi="Times" w:cs="Times New Roman"/>
                <w:sz w:val="20"/>
                <w:szCs w:val="24"/>
              </w:rPr>
            </w:pPr>
            <w:r w:rsidRPr="00E547B7">
              <w:rPr>
                <w:rFonts w:ascii="Times" w:eastAsia="Batang" w:hAnsi="Times" w:cs="Times New Roman"/>
                <w:sz w:val="20"/>
                <w:szCs w:val="24"/>
              </w:rPr>
              <w:t>CORESET parameters other than frequency domain resource allocation pattern are identical for each of the one or more monitoring locations in the frequency domain.</w:t>
            </w:r>
          </w:p>
          <w:p w14:paraId="033F0066" w14:textId="77777777" w:rsidR="00E547B7" w:rsidRPr="00E547B7" w:rsidRDefault="00E547B7" w:rsidP="00E547B7">
            <w:pPr>
              <w:numPr>
                <w:ilvl w:val="0"/>
                <w:numId w:val="22"/>
              </w:numPr>
              <w:spacing w:after="0" w:line="240" w:lineRule="auto"/>
              <w:rPr>
                <w:rFonts w:ascii="Times" w:eastAsia="Batang" w:hAnsi="Times" w:cs="Times New Roman"/>
                <w:sz w:val="20"/>
                <w:szCs w:val="24"/>
              </w:rPr>
            </w:pPr>
            <w:r w:rsidRPr="00E547B7">
              <w:rPr>
                <w:rFonts w:ascii="Times" w:eastAsia="Batang" w:hAnsi="Times" w:cs="Times New Roman"/>
                <w:sz w:val="20"/>
                <w:szCs w:val="24"/>
              </w:rPr>
              <w:t>Include this and the prior agreement on this issue in an LS to RAN2</w:t>
            </w:r>
          </w:p>
          <w:p w14:paraId="03AC85E7" w14:textId="77777777" w:rsidR="00E547B7" w:rsidRDefault="00E547B7" w:rsidP="000D567C">
            <w:pPr>
              <w:rPr>
                <w:rFonts w:ascii="Times New Roman" w:eastAsia="MS Mincho" w:hAnsi="Times New Roman" w:cs="Times New Roman"/>
                <w:sz w:val="20"/>
                <w:szCs w:val="20"/>
              </w:rPr>
            </w:pPr>
          </w:p>
        </w:tc>
      </w:tr>
    </w:tbl>
    <w:p w14:paraId="40BC57AB" w14:textId="77777777" w:rsidR="00E547B7" w:rsidRDefault="00E547B7" w:rsidP="000D567C">
      <w:pPr>
        <w:rPr>
          <w:rFonts w:ascii="Times New Roman" w:eastAsia="MS Mincho" w:hAnsi="Times New Roman" w:cs="Times New Roman"/>
          <w:sz w:val="20"/>
          <w:szCs w:val="20"/>
        </w:rPr>
      </w:pPr>
    </w:p>
    <w:p w14:paraId="3B8128B1" w14:textId="04B501A6" w:rsidR="000D567C" w:rsidRDefault="00856A04" w:rsidP="000D567C">
      <w:pPr>
        <w:rPr>
          <w:rFonts w:ascii="Times New Roman" w:eastAsia="MS Mincho" w:hAnsi="Times New Roman" w:cs="Times New Roman"/>
          <w:sz w:val="20"/>
          <w:szCs w:val="20"/>
        </w:rPr>
      </w:pPr>
      <w:r>
        <w:rPr>
          <w:rFonts w:ascii="Times New Roman" w:eastAsia="MS Mincho" w:hAnsi="Times New Roman" w:cs="Times New Roman"/>
          <w:sz w:val="20"/>
          <w:szCs w:val="20"/>
        </w:rPr>
        <w:t>The agreement</w:t>
      </w:r>
      <w:r w:rsidR="00AE533D">
        <w:rPr>
          <w:rFonts w:ascii="Times New Roman" w:eastAsia="MS Mincho" w:hAnsi="Times New Roman" w:cs="Times New Roman"/>
          <w:sz w:val="20"/>
          <w:szCs w:val="20"/>
        </w:rPr>
        <w:t xml:space="preserve"> is particular</w:t>
      </w:r>
      <w:r w:rsidR="001111A0">
        <w:rPr>
          <w:rFonts w:ascii="Times New Roman" w:eastAsia="MS Mincho" w:hAnsi="Times New Roman" w:cs="Times New Roman"/>
          <w:sz w:val="20"/>
          <w:szCs w:val="20"/>
        </w:rPr>
        <w:t>ly</w:t>
      </w:r>
      <w:r w:rsidR="00AE533D">
        <w:rPr>
          <w:rFonts w:ascii="Times New Roman" w:eastAsia="MS Mincho" w:hAnsi="Times New Roman" w:cs="Times New Roman"/>
          <w:sz w:val="20"/>
          <w:szCs w:val="20"/>
        </w:rPr>
        <w:t xml:space="preserve"> useful before the DL burst is detected. After DL burst is detected, which LBT bandwidth(s) are available to the UE is indicated by GC-PDCCH according to the following agreement made in RAN1#98 as well. </w:t>
      </w:r>
      <w:r w:rsidR="00A47529">
        <w:rPr>
          <w:rFonts w:ascii="Times New Roman" w:eastAsia="MS Mincho" w:hAnsi="Times New Roman" w:cs="Times New Roman"/>
          <w:sz w:val="20"/>
          <w:szCs w:val="20"/>
        </w:rPr>
        <w:t xml:space="preserve"> </w:t>
      </w:r>
      <w:r w:rsidR="000D567C" w:rsidRPr="000D567C">
        <w:rPr>
          <w:rFonts w:ascii="Times New Roman" w:eastAsia="MS Mincho" w:hAnsi="Times New Roman" w:cs="Times New Roman"/>
          <w:sz w:val="20"/>
          <w:szCs w:val="20"/>
        </w:rPr>
        <w:t xml:space="preserve"> </w:t>
      </w:r>
    </w:p>
    <w:p w14:paraId="7037556F" w14:textId="77777777" w:rsidR="00A545B8" w:rsidRDefault="00A545B8" w:rsidP="000D567C">
      <w:pPr>
        <w:rPr>
          <w:rFonts w:ascii="Times New Roman" w:eastAsia="MS Mincho" w:hAnsi="Times New Roman" w:cs="Times New Roman"/>
          <w:sz w:val="20"/>
          <w:szCs w:val="20"/>
        </w:rPr>
      </w:pPr>
    </w:p>
    <w:tbl>
      <w:tblPr>
        <w:tblStyle w:val="TableGrid"/>
        <w:tblW w:w="0" w:type="auto"/>
        <w:tblLook w:val="04A0" w:firstRow="1" w:lastRow="0" w:firstColumn="1" w:lastColumn="0" w:noHBand="0" w:noVBand="1"/>
      </w:tblPr>
      <w:tblGrid>
        <w:gridCol w:w="9629"/>
      </w:tblGrid>
      <w:tr w:rsidR="00A545B8" w14:paraId="06EEB383" w14:textId="77777777" w:rsidTr="00A545B8">
        <w:tc>
          <w:tcPr>
            <w:tcW w:w="9629" w:type="dxa"/>
          </w:tcPr>
          <w:p w14:paraId="57B7D619" w14:textId="77777777" w:rsidR="00A545B8" w:rsidRPr="00A545B8" w:rsidRDefault="00A545B8" w:rsidP="00A545B8">
            <w:pPr>
              <w:rPr>
                <w:rFonts w:ascii="Times" w:eastAsia="Batang" w:hAnsi="Times" w:cs="Times New Roman"/>
                <w:sz w:val="20"/>
                <w:szCs w:val="24"/>
                <w:lang w:eastAsia="x-none"/>
              </w:rPr>
            </w:pPr>
            <w:r w:rsidRPr="00A545B8">
              <w:rPr>
                <w:rFonts w:ascii="Times" w:eastAsia="Batang" w:hAnsi="Times" w:cs="Times New Roman"/>
                <w:sz w:val="20"/>
                <w:szCs w:val="24"/>
                <w:highlight w:val="green"/>
                <w:lang w:eastAsia="x-none"/>
              </w:rPr>
              <w:t>Agreement:</w:t>
            </w:r>
          </w:p>
          <w:p w14:paraId="0EF277E8" w14:textId="0F8DB5FF" w:rsidR="00A545B8" w:rsidRDefault="00A545B8" w:rsidP="008C6BD0">
            <w:pPr>
              <w:rPr>
                <w:rFonts w:ascii="Times New Roman" w:eastAsia="MS Mincho" w:hAnsi="Times New Roman" w:cs="Times New Roman"/>
                <w:sz w:val="20"/>
                <w:szCs w:val="20"/>
              </w:rPr>
            </w:pPr>
            <w:r w:rsidRPr="00A545B8">
              <w:rPr>
                <w:rFonts w:ascii="Times" w:eastAsia="Batang" w:hAnsi="Times" w:cs="Times New Roman"/>
                <w:sz w:val="20"/>
                <w:szCs w:val="24"/>
                <w:lang w:eastAsia="x-none"/>
              </w:rPr>
              <w:t>Support bit field corresponding to available LBT bandwidths in GC-PDCCH (add a bitmap in the GC-PDCCH DCI)</w:t>
            </w:r>
          </w:p>
        </w:tc>
      </w:tr>
    </w:tbl>
    <w:p w14:paraId="22DCCF33" w14:textId="77777777" w:rsidR="00A545B8" w:rsidRDefault="00A545B8" w:rsidP="000D567C">
      <w:pPr>
        <w:rPr>
          <w:rFonts w:ascii="Times New Roman" w:eastAsia="MS Mincho" w:hAnsi="Times New Roman" w:cs="Times New Roman"/>
          <w:sz w:val="20"/>
          <w:szCs w:val="20"/>
        </w:rPr>
      </w:pPr>
    </w:p>
    <w:p w14:paraId="56DAFDB3" w14:textId="59FE7ABB" w:rsidR="00AE533D" w:rsidRDefault="001D40A9" w:rsidP="000D567C">
      <w:pPr>
        <w:rPr>
          <w:rFonts w:ascii="Times New Roman" w:eastAsia="MS Mincho" w:hAnsi="Times New Roman" w:cs="Times New Roman"/>
          <w:sz w:val="20"/>
          <w:szCs w:val="20"/>
        </w:rPr>
      </w:pPr>
      <w:r>
        <w:rPr>
          <w:rFonts w:ascii="Times New Roman" w:eastAsia="MS Mincho" w:hAnsi="Times New Roman" w:cs="Times New Roman"/>
          <w:sz w:val="20"/>
          <w:szCs w:val="20"/>
        </w:rPr>
        <w:t>In [1], we propose that before DL burst is detected, UE only performs 1 BD for GC-PDCCH or UE-specific PDCCH (which have aligned size</w:t>
      </w:r>
      <w:r w:rsidR="003E526E">
        <w:rPr>
          <w:rFonts w:ascii="Times New Roman" w:eastAsia="MS Mincho" w:hAnsi="Times New Roman" w:cs="Times New Roman"/>
          <w:sz w:val="20"/>
          <w:szCs w:val="20"/>
        </w:rPr>
        <w:t>s</w:t>
      </w:r>
      <w:r>
        <w:rPr>
          <w:rFonts w:ascii="Times New Roman" w:eastAsia="MS Mincho" w:hAnsi="Times New Roman" w:cs="Times New Roman"/>
          <w:sz w:val="20"/>
          <w:szCs w:val="20"/>
        </w:rPr>
        <w:t>) for every two symbol</w:t>
      </w:r>
      <w:r w:rsidR="00D477AC">
        <w:rPr>
          <w:rFonts w:ascii="Times New Roman" w:eastAsia="MS Mincho" w:hAnsi="Times New Roman" w:cs="Times New Roman"/>
          <w:sz w:val="20"/>
          <w:szCs w:val="20"/>
        </w:rPr>
        <w:t>s</w:t>
      </w:r>
      <w:r>
        <w:rPr>
          <w:rFonts w:ascii="Times New Roman" w:eastAsia="MS Mincho" w:hAnsi="Times New Roman" w:cs="Times New Roman"/>
          <w:sz w:val="20"/>
          <w:szCs w:val="20"/>
        </w:rPr>
        <w:t>, consuming 7 BD budget per slot</w:t>
      </w:r>
      <w:r w:rsidR="00D477AC">
        <w:rPr>
          <w:rFonts w:ascii="Times New Roman" w:eastAsia="MS Mincho" w:hAnsi="Times New Roman" w:cs="Times New Roman"/>
          <w:sz w:val="20"/>
          <w:szCs w:val="20"/>
        </w:rPr>
        <w:t xml:space="preserve"> per LBT bandwidth</w:t>
      </w:r>
      <w:r>
        <w:rPr>
          <w:rFonts w:ascii="Times New Roman" w:eastAsia="MS Mincho" w:hAnsi="Times New Roman" w:cs="Times New Roman"/>
          <w:sz w:val="20"/>
          <w:szCs w:val="20"/>
        </w:rPr>
        <w:t xml:space="preserve">. To increase the detection probability, </w:t>
      </w:r>
      <w:r w:rsidR="003E526E">
        <w:rPr>
          <w:rFonts w:ascii="Times New Roman" w:eastAsia="MS Mincho" w:hAnsi="Times New Roman" w:cs="Times New Roman"/>
          <w:sz w:val="20"/>
          <w:szCs w:val="20"/>
        </w:rPr>
        <w:t>such</w:t>
      </w:r>
      <w:r>
        <w:rPr>
          <w:rFonts w:ascii="Times New Roman" w:eastAsia="MS Mincho" w:hAnsi="Times New Roman" w:cs="Times New Roman"/>
          <w:sz w:val="20"/>
          <w:szCs w:val="20"/>
        </w:rPr>
        <w:t xml:space="preserve"> search space can be configured to be monitored over all LBT</w:t>
      </w:r>
      <w:r w:rsidR="001111A0">
        <w:rPr>
          <w:rFonts w:ascii="Times New Roman" w:eastAsia="MS Mincho" w:hAnsi="Times New Roman" w:cs="Times New Roman"/>
          <w:sz w:val="20"/>
          <w:szCs w:val="20"/>
        </w:rPr>
        <w:t xml:space="preserve"> bandwidths</w:t>
      </w:r>
      <w:r>
        <w:rPr>
          <w:rFonts w:ascii="Times New Roman" w:eastAsia="MS Mincho" w:hAnsi="Times New Roman" w:cs="Times New Roman"/>
          <w:sz w:val="20"/>
          <w:szCs w:val="20"/>
        </w:rPr>
        <w:t xml:space="preserve">. For a </w:t>
      </w:r>
      <w:r w:rsidR="001356BF">
        <w:rPr>
          <w:rFonts w:ascii="Times New Roman" w:eastAsia="MS Mincho" w:hAnsi="Times New Roman" w:cs="Times New Roman"/>
          <w:sz w:val="20"/>
          <w:szCs w:val="20"/>
        </w:rPr>
        <w:t>80</w:t>
      </w:r>
      <w:r>
        <w:rPr>
          <w:rFonts w:ascii="Times New Roman" w:eastAsia="MS Mincho" w:hAnsi="Times New Roman" w:cs="Times New Roman"/>
          <w:sz w:val="20"/>
          <w:szCs w:val="20"/>
        </w:rPr>
        <w:t xml:space="preserve"> MHz wideband carrier with </w:t>
      </w:r>
      <w:r w:rsidR="001356BF">
        <w:rPr>
          <w:rFonts w:ascii="Times New Roman" w:eastAsia="MS Mincho" w:hAnsi="Times New Roman" w:cs="Times New Roman"/>
          <w:sz w:val="20"/>
          <w:szCs w:val="20"/>
        </w:rPr>
        <w:t>4</w:t>
      </w:r>
      <w:r>
        <w:rPr>
          <w:rFonts w:ascii="Times New Roman" w:eastAsia="MS Mincho" w:hAnsi="Times New Roman" w:cs="Times New Roman"/>
          <w:sz w:val="20"/>
          <w:szCs w:val="20"/>
        </w:rPr>
        <w:t xml:space="preserve"> LBT bandwidths, the total BD consumption would be </w:t>
      </w:r>
      <w:r w:rsidR="001356BF">
        <w:rPr>
          <w:rFonts w:ascii="Times New Roman" w:eastAsia="MS Mincho" w:hAnsi="Times New Roman" w:cs="Times New Roman"/>
          <w:sz w:val="20"/>
          <w:szCs w:val="20"/>
        </w:rPr>
        <w:t>7x4=28</w:t>
      </w:r>
      <w:r>
        <w:rPr>
          <w:rFonts w:ascii="Times New Roman" w:eastAsia="MS Mincho" w:hAnsi="Times New Roman" w:cs="Times New Roman"/>
          <w:sz w:val="20"/>
          <w:szCs w:val="20"/>
        </w:rPr>
        <w:t xml:space="preserve"> BDs.</w:t>
      </w:r>
      <w:r w:rsidR="003E526E">
        <w:rPr>
          <w:rFonts w:ascii="Times New Roman" w:eastAsia="MS Mincho" w:hAnsi="Times New Roman" w:cs="Times New Roman"/>
          <w:sz w:val="20"/>
          <w:szCs w:val="20"/>
        </w:rPr>
        <w:t xml:space="preserve"> Once DL burst is detected and UE is informed via GC-PDCCH regarding the set of available LBT bandwidths, PDCCH candidates are only monitored over the available bandwidths.</w:t>
      </w:r>
      <w:r w:rsidR="004F0F30">
        <w:rPr>
          <w:rFonts w:ascii="Times New Roman" w:eastAsia="MS Mincho" w:hAnsi="Times New Roman" w:cs="Times New Roman"/>
          <w:sz w:val="20"/>
          <w:szCs w:val="20"/>
        </w:rPr>
        <w:t xml:space="preserve"> It would be better that the BD budget over the unavailable LBT bandwidths can be reallocated to the available bandwidths in order to provide more scheduling flexibility. </w:t>
      </w:r>
      <w:r w:rsidR="0019607E">
        <w:rPr>
          <w:rFonts w:ascii="Times New Roman" w:eastAsia="MS Mincho" w:hAnsi="Times New Roman" w:cs="Times New Roman"/>
          <w:sz w:val="20"/>
          <w:szCs w:val="20"/>
        </w:rPr>
        <w:t xml:space="preserve">For example, if only LBT bandwidth #1 is available, </w:t>
      </w:r>
      <w:r w:rsidR="00C61EA7">
        <w:rPr>
          <w:rFonts w:ascii="Times New Roman" w:eastAsia="MS Mincho" w:hAnsi="Times New Roman" w:cs="Times New Roman"/>
          <w:sz w:val="20"/>
          <w:szCs w:val="20"/>
        </w:rPr>
        <w:t xml:space="preserve">total </w:t>
      </w:r>
      <w:r w:rsidR="0019607E">
        <w:rPr>
          <w:rFonts w:ascii="Times New Roman" w:eastAsia="MS Mincho" w:hAnsi="Times New Roman" w:cs="Times New Roman"/>
          <w:sz w:val="20"/>
          <w:szCs w:val="20"/>
        </w:rPr>
        <w:t xml:space="preserve">BD budget </w:t>
      </w:r>
      <w:r w:rsidR="00C61EA7">
        <w:rPr>
          <w:rFonts w:ascii="Times New Roman" w:eastAsia="MS Mincho" w:hAnsi="Times New Roman" w:cs="Times New Roman"/>
          <w:sz w:val="20"/>
          <w:szCs w:val="20"/>
        </w:rPr>
        <w:t xml:space="preserve">such as 44 </w:t>
      </w:r>
      <w:r w:rsidR="0019607E">
        <w:rPr>
          <w:rFonts w:ascii="Times New Roman" w:eastAsia="MS Mincho" w:hAnsi="Times New Roman" w:cs="Times New Roman"/>
          <w:sz w:val="20"/>
          <w:szCs w:val="20"/>
        </w:rPr>
        <w:t xml:space="preserve">can be allocated only to LBT bandwidth #1 (and at beginning of </w:t>
      </w:r>
      <w:r w:rsidR="001111A0">
        <w:rPr>
          <w:rFonts w:ascii="Times New Roman" w:eastAsia="MS Mincho" w:hAnsi="Times New Roman" w:cs="Times New Roman"/>
          <w:sz w:val="20"/>
          <w:szCs w:val="20"/>
        </w:rPr>
        <w:t>the slot for slot-based scheduling</w:t>
      </w:r>
      <w:r w:rsidR="0019607E">
        <w:rPr>
          <w:rFonts w:ascii="Times New Roman" w:eastAsia="MS Mincho" w:hAnsi="Times New Roman" w:cs="Times New Roman"/>
          <w:sz w:val="20"/>
          <w:szCs w:val="20"/>
        </w:rPr>
        <w:t>).</w:t>
      </w:r>
      <w:r w:rsidR="00C61EA7">
        <w:rPr>
          <w:rFonts w:ascii="Times New Roman" w:eastAsia="MS Mincho" w:hAnsi="Times New Roman" w:cs="Times New Roman"/>
          <w:sz w:val="20"/>
          <w:szCs w:val="20"/>
        </w:rPr>
        <w:t xml:space="preserve"> </w:t>
      </w:r>
      <w:r w:rsidR="00E30A29">
        <w:rPr>
          <w:rFonts w:ascii="Times New Roman" w:eastAsia="MS Mincho" w:hAnsi="Times New Roman" w:cs="Times New Roman"/>
          <w:sz w:val="20"/>
          <w:szCs w:val="20"/>
        </w:rPr>
        <w:t>If LBT bandwidths #1 and #2 are available, total BD budget 44 are shared among these two bandwidths</w:t>
      </w:r>
      <w:r w:rsidR="00C61EA7">
        <w:rPr>
          <w:rFonts w:ascii="Times New Roman" w:eastAsia="MS Mincho" w:hAnsi="Times New Roman" w:cs="Times New Roman"/>
          <w:sz w:val="20"/>
          <w:szCs w:val="20"/>
        </w:rPr>
        <w:t xml:space="preserve">. </w:t>
      </w:r>
      <w:r w:rsidR="008E64DA">
        <w:rPr>
          <w:rFonts w:ascii="Times New Roman" w:eastAsia="MS Mincho" w:hAnsi="Times New Roman" w:cs="Times New Roman"/>
          <w:sz w:val="20"/>
          <w:szCs w:val="20"/>
        </w:rPr>
        <w:t>As the number of BD/CCE limitation is specified within a slot, the change of the number of BDs per LBT bandwidth is applied from the slot boundary after available LBT bandwidth is known.</w:t>
      </w:r>
    </w:p>
    <w:p w14:paraId="6069C91E" w14:textId="459F7A70" w:rsidR="00D13A1F" w:rsidRDefault="00D13A1F" w:rsidP="000D567C">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Instead of </w:t>
      </w:r>
      <w:r w:rsidR="00EE691E">
        <w:rPr>
          <w:rFonts w:ascii="Times New Roman" w:eastAsia="MS Mincho" w:hAnsi="Times New Roman" w:cs="Times New Roman"/>
          <w:sz w:val="20"/>
          <w:szCs w:val="20"/>
        </w:rPr>
        <w:t xml:space="preserve">monitoring </w:t>
      </w:r>
      <w:r>
        <w:rPr>
          <w:rFonts w:ascii="Times New Roman" w:eastAsia="MS Mincho" w:hAnsi="Times New Roman" w:cs="Times New Roman"/>
          <w:sz w:val="20"/>
          <w:szCs w:val="20"/>
        </w:rPr>
        <w:t xml:space="preserve">PDCCH candidates only over the available bandwidth, </w:t>
      </w:r>
      <w:r w:rsidR="00EE691E">
        <w:rPr>
          <w:rFonts w:ascii="Times New Roman" w:eastAsia="MS Mincho" w:hAnsi="Times New Roman" w:cs="Times New Roman"/>
          <w:sz w:val="20"/>
          <w:szCs w:val="20"/>
        </w:rPr>
        <w:t xml:space="preserve">another possibility is </w:t>
      </w:r>
      <w:r>
        <w:rPr>
          <w:rFonts w:ascii="Times New Roman" w:eastAsia="MS Mincho" w:hAnsi="Times New Roman" w:cs="Times New Roman"/>
          <w:sz w:val="20"/>
          <w:szCs w:val="20"/>
        </w:rPr>
        <w:t>to let UE keep monitoring the unavailable LBT bandwidth at the mini-slot level, e.g. every two symbols in order for UE to use bandwidth as soon as available. Even</w:t>
      </w:r>
      <w:r w:rsidR="00EE691E">
        <w:rPr>
          <w:rFonts w:ascii="Times New Roman" w:eastAsia="MS Mincho" w:hAnsi="Times New Roman" w:cs="Times New Roman"/>
          <w:sz w:val="20"/>
          <w:szCs w:val="20"/>
        </w:rPr>
        <w:t xml:space="preserve"> for</w:t>
      </w:r>
      <w:r>
        <w:rPr>
          <w:rFonts w:ascii="Times New Roman" w:eastAsia="MS Mincho" w:hAnsi="Times New Roman" w:cs="Times New Roman"/>
          <w:sz w:val="20"/>
          <w:szCs w:val="20"/>
        </w:rPr>
        <w:t xml:space="preserve"> this option, the remaining BD budget can still be allocated among the available bandwidths.</w:t>
      </w:r>
    </w:p>
    <w:p w14:paraId="6C6CAE02" w14:textId="18754373" w:rsidR="00E30A29" w:rsidRDefault="00E30A29" w:rsidP="00E30A29">
      <w:pPr>
        <w:rPr>
          <w:rFonts w:ascii="Times New Roman" w:hAnsi="Times New Roman" w:cs="Times New Roman"/>
          <w:b/>
          <w:sz w:val="20"/>
          <w:szCs w:val="20"/>
        </w:rPr>
      </w:pPr>
      <w:r>
        <w:rPr>
          <w:rFonts w:ascii="Times New Roman" w:hAnsi="Times New Roman" w:cs="Times New Roman"/>
          <w:b/>
          <w:sz w:val="20"/>
          <w:szCs w:val="20"/>
        </w:rPr>
        <w:t>Proposal 1</w:t>
      </w:r>
      <w:r w:rsidRPr="009913E0">
        <w:rPr>
          <w:rFonts w:ascii="Times New Roman" w:hAnsi="Times New Roman" w:cs="Times New Roman"/>
          <w:b/>
          <w:sz w:val="20"/>
          <w:szCs w:val="20"/>
        </w:rPr>
        <w:t>:</w:t>
      </w:r>
      <w:r>
        <w:rPr>
          <w:rFonts w:ascii="Times New Roman" w:hAnsi="Times New Roman" w:cs="Times New Roman"/>
          <w:b/>
          <w:sz w:val="20"/>
          <w:szCs w:val="20"/>
        </w:rPr>
        <w:t xml:space="preserve"> The number of BDs per LBT bandwidth can be varied </w:t>
      </w:r>
      <w:r w:rsidR="00834D48">
        <w:rPr>
          <w:rFonts w:ascii="Times New Roman" w:hAnsi="Times New Roman" w:cs="Times New Roman"/>
          <w:b/>
          <w:sz w:val="20"/>
          <w:szCs w:val="20"/>
        </w:rPr>
        <w:t xml:space="preserve">from slot boundary </w:t>
      </w:r>
      <w:r>
        <w:rPr>
          <w:rFonts w:ascii="Times New Roman" w:hAnsi="Times New Roman" w:cs="Times New Roman"/>
          <w:b/>
          <w:sz w:val="20"/>
          <w:szCs w:val="20"/>
        </w:rPr>
        <w:t>depending on the number of available LBT bandwidths after DL burst is detected.</w:t>
      </w:r>
    </w:p>
    <w:p w14:paraId="08EBF164" w14:textId="77777777" w:rsidR="008E64DA" w:rsidRPr="009913E0" w:rsidRDefault="008E64DA" w:rsidP="00E30A29">
      <w:pPr>
        <w:rPr>
          <w:rFonts w:ascii="Times New Roman" w:hAnsi="Times New Roman" w:cs="Times New Roman"/>
          <w:b/>
          <w:sz w:val="20"/>
          <w:szCs w:val="20"/>
        </w:rPr>
      </w:pPr>
    </w:p>
    <w:p w14:paraId="2E681777" w14:textId="609F65F9" w:rsidR="00B3276D" w:rsidRDefault="004C2922" w:rsidP="000D567C">
      <w:pPr>
        <w:rPr>
          <w:rFonts w:ascii="Times New Roman" w:eastAsia="MS Mincho" w:hAnsi="Times New Roman" w:cs="Times New Roman"/>
          <w:sz w:val="20"/>
          <w:szCs w:val="20"/>
        </w:rPr>
      </w:pPr>
      <w:r>
        <w:rPr>
          <w:rFonts w:ascii="Times New Roman" w:eastAsia="MS Mincho" w:hAnsi="Times New Roman" w:cs="Times New Roman"/>
          <w:sz w:val="20"/>
          <w:szCs w:val="20"/>
        </w:rPr>
        <w:t>To realize such dynamic BD budget a</w:t>
      </w:r>
      <w:r w:rsidR="00F85033">
        <w:rPr>
          <w:rFonts w:ascii="Times New Roman" w:eastAsia="MS Mincho" w:hAnsi="Times New Roman" w:cs="Times New Roman"/>
          <w:sz w:val="20"/>
          <w:szCs w:val="20"/>
        </w:rPr>
        <w:t xml:space="preserve">llocation, </w:t>
      </w:r>
      <w:r w:rsidR="00C16AC3">
        <w:rPr>
          <w:rFonts w:ascii="Times New Roman" w:eastAsia="MS Mincho" w:hAnsi="Times New Roman" w:cs="Times New Roman"/>
          <w:sz w:val="20"/>
          <w:szCs w:val="20"/>
        </w:rPr>
        <w:t xml:space="preserve">one way is </w:t>
      </w:r>
      <w:r w:rsidR="00893559">
        <w:rPr>
          <w:rFonts w:ascii="Times New Roman" w:eastAsia="MS Mincho" w:hAnsi="Times New Roman" w:cs="Times New Roman"/>
          <w:sz w:val="20"/>
          <w:szCs w:val="20"/>
        </w:rPr>
        <w:t>to have multiple search space set configurations for each LBT bandwidth, and to activate/de-</w:t>
      </w:r>
      <w:r w:rsidR="007E0706">
        <w:rPr>
          <w:rFonts w:ascii="Times New Roman" w:eastAsia="MS Mincho" w:hAnsi="Times New Roman" w:cs="Times New Roman"/>
          <w:sz w:val="20"/>
          <w:szCs w:val="20"/>
        </w:rPr>
        <w:t>activate</w:t>
      </w:r>
      <w:r w:rsidR="007E0706" w:rsidDel="007E0706">
        <w:rPr>
          <w:rFonts w:ascii="Times New Roman" w:eastAsia="MS Mincho" w:hAnsi="Times New Roman" w:cs="Times New Roman"/>
          <w:sz w:val="20"/>
          <w:szCs w:val="20"/>
        </w:rPr>
        <w:t xml:space="preserve"> </w:t>
      </w:r>
      <w:r w:rsidR="00893559">
        <w:rPr>
          <w:rFonts w:ascii="Times New Roman" w:eastAsia="MS Mincho" w:hAnsi="Times New Roman" w:cs="Times New Roman"/>
          <w:sz w:val="20"/>
          <w:szCs w:val="20"/>
        </w:rPr>
        <w:t>some configurations depending on the number of available LBT bandwidths. The drawback of such method is that it requires additional signalling to select which configurations to (de)activate.</w:t>
      </w:r>
      <w:r w:rsidR="00B3276D">
        <w:rPr>
          <w:rFonts w:ascii="Times New Roman" w:eastAsia="MS Mincho" w:hAnsi="Times New Roman" w:cs="Times New Roman"/>
          <w:sz w:val="20"/>
          <w:szCs w:val="20"/>
        </w:rPr>
        <w:t xml:space="preserve"> Moreover, the number of configurations may also be unnecessarily increased, resulting in increased </w:t>
      </w:r>
      <w:r w:rsidR="002A2B08">
        <w:rPr>
          <w:rFonts w:ascii="Times New Roman" w:eastAsia="MS Mincho" w:hAnsi="Times New Roman" w:cs="Times New Roman"/>
          <w:sz w:val="20"/>
          <w:szCs w:val="20"/>
        </w:rPr>
        <w:t xml:space="preserve">RRC </w:t>
      </w:r>
      <w:r w:rsidR="00B3276D">
        <w:rPr>
          <w:rFonts w:ascii="Times New Roman" w:eastAsia="MS Mincho" w:hAnsi="Times New Roman" w:cs="Times New Roman"/>
          <w:sz w:val="20"/>
          <w:szCs w:val="20"/>
        </w:rPr>
        <w:t xml:space="preserve">configuration overhead. </w:t>
      </w:r>
    </w:p>
    <w:p w14:paraId="62B07EA2" w14:textId="42BE8EF7" w:rsidR="00AE533D" w:rsidRDefault="00B3276D" w:rsidP="000D567C">
      <w:pPr>
        <w:rPr>
          <w:rFonts w:ascii="Times New Roman" w:eastAsia="MS Mincho" w:hAnsi="Times New Roman" w:cs="Times New Roman"/>
          <w:sz w:val="20"/>
          <w:szCs w:val="20"/>
        </w:rPr>
      </w:pPr>
      <w:r>
        <w:rPr>
          <w:rFonts w:ascii="Times New Roman" w:eastAsia="MS Mincho" w:hAnsi="Times New Roman" w:cs="Times New Roman"/>
          <w:sz w:val="20"/>
          <w:szCs w:val="20"/>
        </w:rPr>
        <w:t>Alternatively and preferably,</w:t>
      </w:r>
      <w:r w:rsidR="00893559">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one</w:t>
      </w:r>
      <w:r w:rsidR="00F85033">
        <w:rPr>
          <w:rFonts w:ascii="Times New Roman" w:eastAsia="MS Mincho" w:hAnsi="Times New Roman" w:cs="Times New Roman"/>
          <w:sz w:val="20"/>
          <w:szCs w:val="20"/>
        </w:rPr>
        <w:t xml:space="preserve"> search space set </w:t>
      </w:r>
      <w:r>
        <w:rPr>
          <w:rFonts w:ascii="Times New Roman" w:eastAsia="MS Mincho" w:hAnsi="Times New Roman" w:cs="Times New Roman"/>
          <w:sz w:val="20"/>
          <w:szCs w:val="20"/>
        </w:rPr>
        <w:t xml:space="preserve">can be </w:t>
      </w:r>
      <w:r w:rsidR="00F85033">
        <w:rPr>
          <w:rFonts w:ascii="Times New Roman" w:eastAsia="MS Mincho" w:hAnsi="Times New Roman" w:cs="Times New Roman"/>
          <w:sz w:val="20"/>
          <w:szCs w:val="20"/>
        </w:rPr>
        <w:t xml:space="preserve">configured to have multiple frequency monitoring locations, </w:t>
      </w:r>
      <w:r>
        <w:rPr>
          <w:rFonts w:ascii="Times New Roman" w:eastAsia="MS Mincho" w:hAnsi="Times New Roman" w:cs="Times New Roman"/>
          <w:sz w:val="20"/>
          <w:szCs w:val="20"/>
        </w:rPr>
        <w:t xml:space="preserve">and </w:t>
      </w:r>
      <w:r w:rsidR="00F85033">
        <w:rPr>
          <w:rFonts w:ascii="Times New Roman" w:eastAsia="MS Mincho" w:hAnsi="Times New Roman" w:cs="Times New Roman"/>
          <w:sz w:val="20"/>
          <w:szCs w:val="20"/>
        </w:rPr>
        <w:t xml:space="preserve">the overbooking of PDCCH candidates </w:t>
      </w:r>
      <w:r>
        <w:rPr>
          <w:rFonts w:ascii="Times New Roman" w:eastAsia="MS Mincho" w:hAnsi="Times New Roman" w:cs="Times New Roman"/>
          <w:sz w:val="20"/>
          <w:szCs w:val="20"/>
        </w:rPr>
        <w:t xml:space="preserve">can </w:t>
      </w:r>
      <w:r w:rsidR="00F85033">
        <w:rPr>
          <w:rFonts w:ascii="Times New Roman" w:eastAsia="MS Mincho" w:hAnsi="Times New Roman" w:cs="Times New Roman"/>
          <w:sz w:val="20"/>
          <w:szCs w:val="20"/>
        </w:rPr>
        <w:t xml:space="preserve">be </w:t>
      </w:r>
      <w:r w:rsidR="002A2B08">
        <w:rPr>
          <w:rFonts w:ascii="Times New Roman" w:eastAsia="MS Mincho" w:hAnsi="Times New Roman" w:cs="Times New Roman"/>
          <w:sz w:val="20"/>
          <w:szCs w:val="20"/>
        </w:rPr>
        <w:t>used</w:t>
      </w:r>
      <w:r>
        <w:rPr>
          <w:rFonts w:ascii="Times New Roman" w:eastAsia="MS Mincho" w:hAnsi="Times New Roman" w:cs="Times New Roman"/>
          <w:sz w:val="20"/>
          <w:szCs w:val="20"/>
        </w:rPr>
        <w:t xml:space="preserve"> to enable dynamic BD budget allocation</w:t>
      </w:r>
      <w:r w:rsidR="00F85033">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Overbooking is useful</w:t>
      </w:r>
      <w:r w:rsidR="00F85033">
        <w:rPr>
          <w:rFonts w:ascii="Times New Roman" w:eastAsia="MS Mincho" w:hAnsi="Times New Roman" w:cs="Times New Roman"/>
          <w:sz w:val="20"/>
          <w:szCs w:val="20"/>
        </w:rPr>
        <w:t xml:space="preserve"> because the availability of LBT bandwidths are unknown at the time when multiple frequency monitoring locations are </w:t>
      </w:r>
      <w:r w:rsidR="00F85033">
        <w:rPr>
          <w:rFonts w:ascii="Times New Roman" w:eastAsia="MS Mincho" w:hAnsi="Times New Roman" w:cs="Times New Roman"/>
          <w:sz w:val="20"/>
          <w:szCs w:val="20"/>
        </w:rPr>
        <w:lastRenderedPageBreak/>
        <w:t>configured. Once the set of LBT bandwidths to be monitored is determined (e.g. based on indication of GC-PDCCH), the overbooked PDCCH candidates can be dropped to meet the BD/CCE limit.</w:t>
      </w:r>
      <w:r w:rsidR="004F5F05">
        <w:rPr>
          <w:rFonts w:ascii="Times New Roman" w:eastAsia="MS Mincho" w:hAnsi="Times New Roman" w:cs="Times New Roman"/>
          <w:sz w:val="20"/>
          <w:szCs w:val="20"/>
        </w:rPr>
        <w:t xml:space="preserve"> </w:t>
      </w:r>
      <w:r w:rsidR="00F85033">
        <w:rPr>
          <w:rFonts w:ascii="Times New Roman" w:eastAsia="MS Mincho" w:hAnsi="Times New Roman" w:cs="Times New Roman"/>
          <w:sz w:val="20"/>
          <w:szCs w:val="20"/>
        </w:rPr>
        <w:t xml:space="preserve"> </w:t>
      </w:r>
    </w:p>
    <w:p w14:paraId="0EB778F2" w14:textId="67018066" w:rsidR="00EC1469" w:rsidRDefault="004F5F05" w:rsidP="000D567C">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Consider an example where two search space sets are configured. </w:t>
      </w:r>
      <w:r w:rsidR="002C0D0C">
        <w:rPr>
          <w:rFonts w:ascii="Times New Roman" w:eastAsia="MS Mincho" w:hAnsi="Times New Roman" w:cs="Times New Roman"/>
          <w:sz w:val="20"/>
          <w:szCs w:val="20"/>
        </w:rPr>
        <w:t>Set #1</w:t>
      </w:r>
      <w:r>
        <w:rPr>
          <w:rFonts w:ascii="Times New Roman" w:eastAsia="MS Mincho" w:hAnsi="Times New Roman" w:cs="Times New Roman"/>
          <w:sz w:val="20"/>
          <w:szCs w:val="20"/>
        </w:rPr>
        <w:t xml:space="preserve"> (CSS) has 7 BD</w:t>
      </w:r>
      <w:r w:rsidR="008E64DA">
        <w:rPr>
          <w:rFonts w:ascii="Times New Roman" w:eastAsia="MS Mincho" w:hAnsi="Times New Roman" w:cs="Times New Roman"/>
          <w:sz w:val="20"/>
          <w:szCs w:val="20"/>
        </w:rPr>
        <w:t>s</w:t>
      </w:r>
      <w:r>
        <w:rPr>
          <w:rFonts w:ascii="Times New Roman" w:eastAsia="MS Mincho" w:hAnsi="Times New Roman" w:cs="Times New Roman"/>
          <w:sz w:val="20"/>
          <w:szCs w:val="20"/>
        </w:rPr>
        <w:t xml:space="preserve">, </w:t>
      </w:r>
      <w:r w:rsidR="002C0D0C">
        <w:rPr>
          <w:rFonts w:ascii="Times New Roman" w:eastAsia="MS Mincho" w:hAnsi="Times New Roman" w:cs="Times New Roman"/>
          <w:sz w:val="20"/>
          <w:szCs w:val="20"/>
        </w:rPr>
        <w:t>and set #2</w:t>
      </w:r>
      <w:r>
        <w:rPr>
          <w:rFonts w:ascii="Times New Roman" w:eastAsia="MS Mincho" w:hAnsi="Times New Roman" w:cs="Times New Roman"/>
          <w:sz w:val="20"/>
          <w:szCs w:val="20"/>
        </w:rPr>
        <w:t xml:space="preserve"> (USS) has 15 BD candidates, in a cell with carrier bandwidth of 80 MHz (i.e. 4 LBT bandwidths). If overbooking is not allowed, on which set of LBT bandwidths the search space sets can be monitore</w:t>
      </w:r>
      <w:r w:rsidR="00EC1469">
        <w:rPr>
          <w:rFonts w:ascii="Times New Roman" w:eastAsia="MS Mincho" w:hAnsi="Times New Roman" w:cs="Times New Roman"/>
          <w:sz w:val="20"/>
          <w:szCs w:val="20"/>
        </w:rPr>
        <w:t>d should be decided</w:t>
      </w:r>
      <w:r w:rsidR="00B3276D">
        <w:rPr>
          <w:rFonts w:ascii="Times New Roman" w:eastAsia="MS Mincho" w:hAnsi="Times New Roman" w:cs="Times New Roman"/>
          <w:sz w:val="20"/>
          <w:szCs w:val="20"/>
        </w:rPr>
        <w:t xml:space="preserve"> by</w:t>
      </w:r>
      <w:r>
        <w:rPr>
          <w:rFonts w:ascii="Times New Roman" w:eastAsia="MS Mincho" w:hAnsi="Times New Roman" w:cs="Times New Roman"/>
          <w:sz w:val="20"/>
          <w:szCs w:val="20"/>
        </w:rPr>
        <w:t xml:space="preserve"> configuration. In this example</w:t>
      </w:r>
      <w:r w:rsidR="008E64DA">
        <w:rPr>
          <w:rFonts w:ascii="Times New Roman" w:eastAsia="MS Mincho" w:hAnsi="Times New Roman" w:cs="Times New Roman"/>
          <w:sz w:val="20"/>
          <w:szCs w:val="20"/>
        </w:rPr>
        <w:t xml:space="preserve"> of 2 sets</w:t>
      </w:r>
      <w:r>
        <w:rPr>
          <w:rFonts w:ascii="Times New Roman" w:eastAsia="MS Mincho" w:hAnsi="Times New Roman" w:cs="Times New Roman"/>
          <w:sz w:val="20"/>
          <w:szCs w:val="20"/>
        </w:rPr>
        <w:t xml:space="preserve">, only two LBT bandwidths can be included if both sets are monitored, in order to meet 44 BD limit. </w:t>
      </w:r>
      <w:r w:rsidR="00EC1469">
        <w:rPr>
          <w:rFonts w:ascii="Times New Roman" w:eastAsia="MS Mincho" w:hAnsi="Times New Roman" w:cs="Times New Roman"/>
          <w:sz w:val="20"/>
          <w:szCs w:val="20"/>
        </w:rPr>
        <w:t xml:space="preserve">However, the selected LBT bandwidths </w:t>
      </w:r>
      <w:r w:rsidR="00B3276D">
        <w:rPr>
          <w:rFonts w:ascii="Times New Roman" w:eastAsia="MS Mincho" w:hAnsi="Times New Roman" w:cs="Times New Roman"/>
          <w:sz w:val="20"/>
          <w:szCs w:val="20"/>
        </w:rPr>
        <w:t>by</w:t>
      </w:r>
      <w:r w:rsidR="00EC1469">
        <w:rPr>
          <w:rFonts w:ascii="Times New Roman" w:eastAsia="MS Mincho" w:hAnsi="Times New Roman" w:cs="Times New Roman"/>
          <w:sz w:val="20"/>
          <w:szCs w:val="20"/>
        </w:rPr>
        <w:t xml:space="preserve"> the configuration are not necessarily free from the LBT procedure later. If they are not available after LBT procedure, no PDCCH candidate can be monitored. </w:t>
      </w:r>
    </w:p>
    <w:p w14:paraId="1EFDC9E3" w14:textId="361BE1AB" w:rsidR="00AE533D" w:rsidRDefault="00EC1469" w:rsidP="000D567C">
      <w:pPr>
        <w:rPr>
          <w:rFonts w:ascii="Times New Roman" w:eastAsia="MS Mincho" w:hAnsi="Times New Roman" w:cs="Times New Roman"/>
          <w:sz w:val="20"/>
          <w:szCs w:val="20"/>
        </w:rPr>
      </w:pPr>
      <w:r>
        <w:rPr>
          <w:rFonts w:ascii="Times New Roman" w:eastAsia="MS Mincho" w:hAnsi="Times New Roman" w:cs="Times New Roman"/>
          <w:sz w:val="20"/>
          <w:szCs w:val="20"/>
        </w:rPr>
        <w:t>On contrary, with overbooking, it is possible to monitor PDCCH candidate no matter which set of LBT bandwidths are free from LBT. This can be explained using the</w:t>
      </w:r>
      <w:r w:rsidR="0015235C">
        <w:rPr>
          <w:rFonts w:ascii="Times New Roman" w:eastAsia="MS Mincho" w:hAnsi="Times New Roman" w:cs="Times New Roman"/>
          <w:sz w:val="20"/>
          <w:szCs w:val="20"/>
        </w:rPr>
        <w:t xml:space="preserve"> following</w:t>
      </w:r>
      <w:r>
        <w:rPr>
          <w:rFonts w:ascii="Times New Roman" w:eastAsia="MS Mincho" w:hAnsi="Times New Roman" w:cs="Times New Roman"/>
          <w:sz w:val="20"/>
          <w:szCs w:val="20"/>
        </w:rPr>
        <w:t xml:space="preserve"> Figure 1. </w:t>
      </w:r>
    </w:p>
    <w:p w14:paraId="42A97212" w14:textId="77777777" w:rsidR="00AE533D" w:rsidRDefault="00AE533D" w:rsidP="000D567C">
      <w:pPr>
        <w:rPr>
          <w:rFonts w:ascii="Times New Roman" w:eastAsia="MS Mincho" w:hAnsi="Times New Roman" w:cs="Times New Roman"/>
          <w:sz w:val="20"/>
          <w:szCs w:val="20"/>
        </w:rPr>
      </w:pPr>
    </w:p>
    <w:p w14:paraId="05567144" w14:textId="58866ABE" w:rsidR="00AE533D" w:rsidRDefault="00AE533D" w:rsidP="000D567C">
      <w:pPr>
        <w:rPr>
          <w:rFonts w:ascii="Times New Roman" w:eastAsia="MS Mincho" w:hAnsi="Times New Roman" w:cs="Times New Roman"/>
          <w:sz w:val="20"/>
          <w:szCs w:val="20"/>
        </w:rPr>
      </w:pPr>
    </w:p>
    <w:p w14:paraId="63F007C0" w14:textId="163FD300" w:rsidR="00AE533D" w:rsidRDefault="009755EB" w:rsidP="000D567C">
      <w:pPr>
        <w:rPr>
          <w:rFonts w:ascii="Times New Roman" w:eastAsia="MS Mincho" w:hAnsi="Times New Roman" w:cs="Times New Roman"/>
          <w:sz w:val="20"/>
          <w:szCs w:val="20"/>
        </w:rPr>
      </w:pPr>
      <w:r>
        <w:rPr>
          <w:rFonts w:ascii="Times New Roman" w:eastAsia="MS Mincho" w:hAnsi="Times New Roman" w:cs="Times New Roman"/>
          <w:noProof/>
          <w:sz w:val="20"/>
          <w:szCs w:val="20"/>
        </w:rPr>
        <w:drawing>
          <wp:inline distT="0" distB="0" distL="0" distR="0" wp14:anchorId="053B1F1F" wp14:editId="24449096">
            <wp:extent cx="6281057" cy="2407331"/>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97814" cy="2413753"/>
                    </a:xfrm>
                    <a:prstGeom prst="rect">
                      <a:avLst/>
                    </a:prstGeom>
                    <a:noFill/>
                  </pic:spPr>
                </pic:pic>
              </a:graphicData>
            </a:graphic>
          </wp:inline>
        </w:drawing>
      </w:r>
    </w:p>
    <w:p w14:paraId="6DCEC15E" w14:textId="630F32DF" w:rsidR="00AE533D" w:rsidRDefault="002C0D0C" w:rsidP="002C0D0C">
      <w:pPr>
        <w:jc w:val="center"/>
        <w:rPr>
          <w:rFonts w:ascii="Times New Roman" w:eastAsia="MS Mincho" w:hAnsi="Times New Roman" w:cs="Times New Roman"/>
          <w:sz w:val="20"/>
          <w:szCs w:val="20"/>
        </w:rPr>
      </w:pPr>
      <w:r>
        <w:rPr>
          <w:rFonts w:ascii="Times New Roman" w:eastAsia="MS Mincho" w:hAnsi="Times New Roman" w:cs="Times New Roman"/>
          <w:sz w:val="20"/>
          <w:szCs w:val="20"/>
        </w:rPr>
        <w:t xml:space="preserve">Figure 1. Example of overbooking during configuration and dropping during monitoring </w:t>
      </w:r>
    </w:p>
    <w:p w14:paraId="72E81624" w14:textId="77777777" w:rsidR="00AE533D" w:rsidRDefault="00AE533D" w:rsidP="000D567C">
      <w:pPr>
        <w:rPr>
          <w:rFonts w:ascii="Times New Roman" w:eastAsia="MS Mincho" w:hAnsi="Times New Roman" w:cs="Times New Roman"/>
          <w:sz w:val="20"/>
          <w:szCs w:val="20"/>
        </w:rPr>
      </w:pPr>
    </w:p>
    <w:p w14:paraId="3F9ABF79" w14:textId="07D599FF" w:rsidR="00E3193D" w:rsidRPr="00D07CE6" w:rsidRDefault="0015235C" w:rsidP="00E666C9">
      <w:pPr>
        <w:rPr>
          <w:rFonts w:ascii="Times New Roman" w:hAnsi="Times New Roman" w:cs="Times New Roman"/>
          <w:b/>
          <w:sz w:val="20"/>
          <w:szCs w:val="20"/>
        </w:rPr>
      </w:pPr>
      <w:r>
        <w:rPr>
          <w:rFonts w:ascii="Times New Roman" w:eastAsia="MS Mincho" w:hAnsi="Times New Roman" w:cs="Times New Roman"/>
          <w:sz w:val="20"/>
          <w:szCs w:val="20"/>
        </w:rPr>
        <w:t>As shown</w:t>
      </w:r>
      <w:r w:rsidR="009B25F4">
        <w:rPr>
          <w:rFonts w:ascii="Times New Roman" w:eastAsia="MS Mincho" w:hAnsi="Times New Roman" w:cs="Times New Roman"/>
          <w:sz w:val="20"/>
          <w:szCs w:val="20"/>
        </w:rPr>
        <w:t xml:space="preserve"> in Figure 1(a), both search space sets #1 and #2 are configured to be monitored over all LBT bandwidths, resulting in </w:t>
      </w:r>
      <w:r w:rsidR="00715E06">
        <w:rPr>
          <w:rFonts w:ascii="Times New Roman" w:eastAsia="MS Mincho" w:hAnsi="Times New Roman" w:cs="Times New Roman"/>
          <w:sz w:val="20"/>
          <w:szCs w:val="20"/>
        </w:rPr>
        <w:t>(7+15)</w:t>
      </w:r>
      <w:r w:rsidR="009B25F4">
        <w:rPr>
          <w:rFonts w:ascii="Times New Roman" w:eastAsia="MS Mincho" w:hAnsi="Times New Roman" w:cs="Times New Roman"/>
          <w:sz w:val="20"/>
          <w:szCs w:val="20"/>
        </w:rPr>
        <w:t>x4 = 88 BDs (&gt; 44 limit). However, depending on the bandwidth availability, some PDCCH candidates can be dropped to meet the BD limit. In Figure 1(b), only LBT bandwidth #4 is available, therefore, the resulting monitoring effort is 22 BD. On the other hand, as shown in Figure 1(c), all 4 LBT bandwidths need to be monitored (This could be either because all LBT bandwidths are available or because UE has not received GC-PDCCH indicating bandwidth availability, e.g. before DL burst detection). To meet the BD budget requirement, one option is to apply Rel-15 dropping rule</w:t>
      </w:r>
      <w:r w:rsidR="009F1B6A">
        <w:rPr>
          <w:rFonts w:ascii="Times New Roman" w:eastAsia="MS Mincho" w:hAnsi="Times New Roman" w:cs="Times New Roman"/>
          <w:sz w:val="20"/>
          <w:szCs w:val="20"/>
        </w:rPr>
        <w:t xml:space="preserve"> but only within each active BWP</w:t>
      </w:r>
      <w:r w:rsidR="009B25F4">
        <w:rPr>
          <w:rFonts w:ascii="Times New Roman" w:eastAsia="MS Mincho" w:hAnsi="Times New Roman" w:cs="Times New Roman"/>
          <w:sz w:val="20"/>
          <w:szCs w:val="20"/>
        </w:rPr>
        <w:t>, i.e., SS set with higher ID</w:t>
      </w:r>
      <w:r w:rsidR="00BA30BC">
        <w:rPr>
          <w:rFonts w:ascii="Times New Roman" w:eastAsia="MS Mincho" w:hAnsi="Times New Roman" w:cs="Times New Roman"/>
          <w:sz w:val="20"/>
          <w:szCs w:val="20"/>
        </w:rPr>
        <w:t xml:space="preserve"> </w:t>
      </w:r>
      <w:r w:rsidR="009B25F4">
        <w:rPr>
          <w:rFonts w:ascii="Times New Roman" w:eastAsia="MS Mincho" w:hAnsi="Times New Roman" w:cs="Times New Roman"/>
          <w:sz w:val="20"/>
          <w:szCs w:val="20"/>
        </w:rPr>
        <w:t xml:space="preserve">is dropped, which is the case in Figure 1(c). Another option is to drop </w:t>
      </w:r>
      <w:r w:rsidR="00D07CE6">
        <w:rPr>
          <w:rFonts w:ascii="Times New Roman" w:eastAsia="MS Mincho" w:hAnsi="Times New Roman" w:cs="Times New Roman"/>
          <w:sz w:val="20"/>
          <w:szCs w:val="20"/>
        </w:rPr>
        <w:t xml:space="preserve">low-priority LBT bandwidths. For example, all </w:t>
      </w:r>
      <w:r w:rsidR="002E1404">
        <w:rPr>
          <w:rFonts w:ascii="Times New Roman" w:eastAsia="MS Mincho" w:hAnsi="Times New Roman" w:cs="Times New Roman"/>
          <w:sz w:val="20"/>
          <w:szCs w:val="20"/>
        </w:rPr>
        <w:t xml:space="preserve">PDCCH </w:t>
      </w:r>
      <w:r w:rsidR="00D07CE6">
        <w:rPr>
          <w:rFonts w:ascii="Times New Roman" w:eastAsia="MS Mincho" w:hAnsi="Times New Roman" w:cs="Times New Roman"/>
          <w:sz w:val="20"/>
          <w:szCs w:val="20"/>
        </w:rPr>
        <w:t xml:space="preserve">candidates (from both SS sets) in non-prioritized LBT bandwidths are dropped. </w:t>
      </w:r>
    </w:p>
    <w:p w14:paraId="7C8993CF" w14:textId="6372992B" w:rsidR="0061621C" w:rsidRPr="00D07CE6" w:rsidRDefault="00D07CE6" w:rsidP="00E666C9">
      <w:pPr>
        <w:rPr>
          <w:rFonts w:ascii="Times New Roman" w:hAnsi="Times New Roman" w:cs="Times New Roman"/>
          <w:b/>
          <w:sz w:val="20"/>
          <w:szCs w:val="20"/>
        </w:rPr>
      </w:pPr>
      <w:r>
        <w:rPr>
          <w:rFonts w:ascii="Times New Roman" w:hAnsi="Times New Roman" w:cs="Times New Roman"/>
          <w:b/>
          <w:sz w:val="20"/>
          <w:szCs w:val="20"/>
        </w:rPr>
        <w:t>Proposal 2:</w:t>
      </w:r>
      <w:r w:rsidR="0061621C" w:rsidRPr="00D07CE6">
        <w:rPr>
          <w:rFonts w:ascii="Times New Roman" w:hAnsi="Times New Roman" w:cs="Times New Roman"/>
          <w:b/>
          <w:sz w:val="20"/>
          <w:szCs w:val="20"/>
        </w:rPr>
        <w:t xml:space="preserve"> In case of search space set configuration associated with the CORESET has multiple monitoring locations in the frequency domain, overbooking of PDCCH candidates should be allowed. </w:t>
      </w:r>
    </w:p>
    <w:p w14:paraId="63500EBE" w14:textId="42E9C829" w:rsidR="0061621C" w:rsidRDefault="00D07CE6" w:rsidP="00D07CE6">
      <w:pPr>
        <w:ind w:firstLine="567"/>
        <w:rPr>
          <w:rFonts w:ascii="Times New Roman" w:hAnsi="Times New Roman" w:cs="Times New Roman"/>
          <w:b/>
          <w:sz w:val="20"/>
          <w:szCs w:val="20"/>
          <w:lang w:eastAsia="en-US"/>
        </w:rPr>
      </w:pPr>
      <w:r>
        <w:rPr>
          <w:rFonts w:ascii="Times New Roman" w:hAnsi="Times New Roman" w:cs="Times New Roman"/>
          <w:b/>
          <w:sz w:val="20"/>
          <w:szCs w:val="20"/>
          <w:lang w:eastAsia="en-US"/>
        </w:rPr>
        <w:t>- D</w:t>
      </w:r>
      <w:r w:rsidR="0061621C" w:rsidRPr="00D07CE6">
        <w:rPr>
          <w:rFonts w:ascii="Times New Roman" w:hAnsi="Times New Roman" w:cs="Times New Roman"/>
          <w:b/>
          <w:sz w:val="20"/>
          <w:szCs w:val="20"/>
          <w:lang w:eastAsia="en-US"/>
        </w:rPr>
        <w:t>ropping rules are applied to ensure the BD/CCE limits are met</w:t>
      </w:r>
      <w:r>
        <w:rPr>
          <w:rFonts w:ascii="Times New Roman" w:hAnsi="Times New Roman" w:cs="Times New Roman"/>
          <w:b/>
          <w:sz w:val="20"/>
          <w:szCs w:val="20"/>
          <w:lang w:eastAsia="en-US"/>
        </w:rPr>
        <w:t xml:space="preserve"> for the set of actually monitored LBT bandwidths</w:t>
      </w:r>
      <w:r w:rsidR="0061621C" w:rsidRPr="00D07CE6">
        <w:rPr>
          <w:rFonts w:ascii="Times New Roman" w:hAnsi="Times New Roman" w:cs="Times New Roman"/>
          <w:b/>
          <w:sz w:val="20"/>
          <w:szCs w:val="20"/>
          <w:lang w:eastAsia="en-US"/>
        </w:rPr>
        <w:t xml:space="preserve">. </w:t>
      </w:r>
    </w:p>
    <w:p w14:paraId="1DB0B20D" w14:textId="5E6921B8" w:rsidR="00D07CE6" w:rsidRPr="00D07CE6" w:rsidRDefault="00D07CE6" w:rsidP="00301661">
      <w:pPr>
        <w:ind w:left="432" w:firstLine="567"/>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 </w:t>
      </w:r>
      <w:r w:rsidR="00610397">
        <w:rPr>
          <w:rFonts w:ascii="Times New Roman" w:hAnsi="Times New Roman" w:cs="Times New Roman"/>
          <w:b/>
          <w:sz w:val="20"/>
          <w:szCs w:val="20"/>
          <w:lang w:eastAsia="en-US"/>
        </w:rPr>
        <w:t>PDCCH candidates in non-prioritized LBT bandwidths are dropped, and/or SS set with higher ID is dropped</w:t>
      </w:r>
    </w:p>
    <w:p w14:paraId="42FC13BF" w14:textId="77777777" w:rsidR="00415D3C" w:rsidRPr="000F3343" w:rsidRDefault="00415D3C" w:rsidP="000F3343"/>
    <w:p w14:paraId="71100277" w14:textId="51F4F315" w:rsidR="00270D24" w:rsidRPr="00DC33E4" w:rsidRDefault="001A471B" w:rsidP="00270D24">
      <w:pPr>
        <w:pStyle w:val="Heading1"/>
        <w:rPr>
          <w:lang w:val="en-US"/>
        </w:rPr>
      </w:pPr>
      <w:r>
        <w:rPr>
          <w:lang w:val="en-US"/>
        </w:rPr>
        <w:lastRenderedPageBreak/>
        <w:t>In-carrier guard band</w:t>
      </w:r>
      <w:r w:rsidR="00270D24">
        <w:rPr>
          <w:lang w:val="en-US"/>
        </w:rPr>
        <w:t xml:space="preserve"> </w:t>
      </w:r>
    </w:p>
    <w:p w14:paraId="3D473435" w14:textId="052BF5F5" w:rsidR="001A471B" w:rsidRDefault="001A471B" w:rsidP="006F4E7C">
      <w:pPr>
        <w:rPr>
          <w:rFonts w:ascii="Times New Roman" w:hAnsi="Times New Roman" w:cs="Times New Roman"/>
          <w:sz w:val="20"/>
          <w:szCs w:val="20"/>
        </w:rPr>
      </w:pPr>
      <w:r>
        <w:rPr>
          <w:rFonts w:ascii="Times New Roman" w:hAnsi="Times New Roman" w:cs="Times New Roman"/>
          <w:sz w:val="20"/>
          <w:szCs w:val="20"/>
        </w:rPr>
        <w:t>In-carrier</w:t>
      </w:r>
      <w:r w:rsidR="00F52394">
        <w:rPr>
          <w:rFonts w:ascii="Times New Roman" w:hAnsi="Times New Roman" w:cs="Times New Roman"/>
          <w:sz w:val="20"/>
          <w:szCs w:val="20"/>
        </w:rPr>
        <w:t xml:space="preserve"> (or called intra-carrier)</w:t>
      </w:r>
      <w:r>
        <w:rPr>
          <w:rFonts w:ascii="Times New Roman" w:hAnsi="Times New Roman" w:cs="Times New Roman"/>
          <w:sz w:val="20"/>
          <w:szCs w:val="20"/>
        </w:rPr>
        <w:t xml:space="preserve"> guard band is defined as guard band between LBT bandwidths in a carrier, different from guard band at the edge of the carrier. Based on the RAN4 agreement [2]</w:t>
      </w:r>
      <w:r w:rsidR="008E035A">
        <w:rPr>
          <w:rFonts w:ascii="Times New Roman" w:hAnsi="Times New Roman" w:cs="Times New Roman"/>
          <w:sz w:val="20"/>
          <w:szCs w:val="20"/>
        </w:rPr>
        <w:t xml:space="preserve">, </w:t>
      </w:r>
      <w:r w:rsidR="008E035A" w:rsidRPr="008E035A">
        <w:rPr>
          <w:rFonts w:ascii="Times New Roman" w:hAnsi="Times New Roman" w:cs="Times New Roman"/>
          <w:sz w:val="20"/>
          <w:szCs w:val="20"/>
        </w:rPr>
        <w:t>in-carrier guard-band is needed at least for a gNB to operate with Option 3 (Multiple BWPs can be configured, single BWP activated, gNB transmits PDSCH on parts or whole of single BWP where CCA is successful at gNB</w:t>
      </w:r>
      <w:r w:rsidR="008E035A">
        <w:rPr>
          <w:rFonts w:ascii="Times New Roman" w:hAnsi="Times New Roman" w:cs="Times New Roman"/>
          <w:sz w:val="20"/>
          <w:szCs w:val="20"/>
        </w:rPr>
        <w:t>).</w:t>
      </w:r>
    </w:p>
    <w:p w14:paraId="6D7BBC58" w14:textId="2035E709" w:rsidR="00F52394" w:rsidRDefault="00F52394" w:rsidP="006F4E7C">
      <w:pPr>
        <w:rPr>
          <w:rFonts w:ascii="Times New Roman" w:hAnsi="Times New Roman" w:cs="Times New Roman"/>
          <w:sz w:val="20"/>
          <w:szCs w:val="20"/>
        </w:rPr>
      </w:pPr>
      <w:r>
        <w:rPr>
          <w:rFonts w:ascii="Times New Roman" w:hAnsi="Times New Roman" w:cs="Times New Roman"/>
          <w:sz w:val="20"/>
          <w:szCs w:val="20"/>
        </w:rPr>
        <w:t>In previous meeting, RAN1#98bis, RAN1 has progressed the issue with the following agreement.</w:t>
      </w:r>
    </w:p>
    <w:tbl>
      <w:tblPr>
        <w:tblStyle w:val="TableGrid"/>
        <w:tblW w:w="0" w:type="auto"/>
        <w:tblLook w:val="04A0" w:firstRow="1" w:lastRow="0" w:firstColumn="1" w:lastColumn="0" w:noHBand="0" w:noVBand="1"/>
      </w:tblPr>
      <w:tblGrid>
        <w:gridCol w:w="9629"/>
      </w:tblGrid>
      <w:tr w:rsidR="00F52394" w14:paraId="55DF0053" w14:textId="77777777" w:rsidTr="00F52394">
        <w:tc>
          <w:tcPr>
            <w:tcW w:w="9629" w:type="dxa"/>
          </w:tcPr>
          <w:p w14:paraId="7BE78A43" w14:textId="77777777" w:rsidR="00F52394" w:rsidRPr="00F52394" w:rsidRDefault="00F52394" w:rsidP="00F52394">
            <w:pPr>
              <w:spacing w:after="0" w:line="240" w:lineRule="auto"/>
              <w:rPr>
                <w:rFonts w:ascii="Times" w:eastAsia="Batang" w:hAnsi="Times" w:cs="Times New Roman"/>
                <w:sz w:val="20"/>
                <w:szCs w:val="24"/>
              </w:rPr>
            </w:pPr>
            <w:r w:rsidRPr="00F52394">
              <w:rPr>
                <w:rFonts w:ascii="Times" w:eastAsia="Batang" w:hAnsi="Times" w:cs="Times New Roman"/>
                <w:sz w:val="20"/>
                <w:szCs w:val="24"/>
                <w:highlight w:val="green"/>
              </w:rPr>
              <w:t>Agreement:</w:t>
            </w:r>
          </w:p>
          <w:p w14:paraId="7CB028DE" w14:textId="77777777" w:rsidR="00F52394" w:rsidRPr="00F52394" w:rsidRDefault="00F52394" w:rsidP="00F52394">
            <w:pPr>
              <w:spacing w:after="0" w:line="240" w:lineRule="auto"/>
              <w:rPr>
                <w:rFonts w:ascii="Times" w:eastAsia="Batang" w:hAnsi="Times" w:cs="Times New Roman"/>
                <w:sz w:val="20"/>
                <w:szCs w:val="24"/>
              </w:rPr>
            </w:pPr>
            <w:r w:rsidRPr="00F52394">
              <w:rPr>
                <w:rFonts w:ascii="Times" w:eastAsia="Batang" w:hAnsi="Times" w:cs="Times New Roman"/>
                <w:sz w:val="20"/>
                <w:szCs w:val="24"/>
              </w:rPr>
              <w:t>The intra-carrier guard bands on a carrier can be semi-statically adjusted with an RB level granularity. The RAN4 minimum guard band requirements are used as the guard bands when no semi-static adjustment is applied.</w:t>
            </w:r>
          </w:p>
          <w:p w14:paraId="0D1CC8A8" w14:textId="77777777" w:rsidR="00F52394" w:rsidRPr="00F52394" w:rsidRDefault="00F52394" w:rsidP="00F52394">
            <w:pPr>
              <w:numPr>
                <w:ilvl w:val="0"/>
                <w:numId w:val="23"/>
              </w:numPr>
              <w:spacing w:after="0" w:line="240" w:lineRule="auto"/>
              <w:rPr>
                <w:rFonts w:ascii="Times" w:eastAsia="Batang" w:hAnsi="Times" w:cs="Times New Roman"/>
                <w:sz w:val="20"/>
                <w:szCs w:val="24"/>
              </w:rPr>
            </w:pPr>
            <w:r w:rsidRPr="00F52394">
              <w:rPr>
                <w:rFonts w:ascii="Times" w:eastAsia="Batang" w:hAnsi="Times" w:cs="Times New Roman"/>
                <w:sz w:val="20"/>
                <w:szCs w:val="24"/>
              </w:rPr>
              <w:t>The guard bands adjustments do not affect the already agreed restrictions on PUCCH resource allocation.</w:t>
            </w:r>
          </w:p>
          <w:p w14:paraId="72A8EED3" w14:textId="3CCEB10E" w:rsidR="00F52394" w:rsidRDefault="00F52394" w:rsidP="00A826B6">
            <w:pPr>
              <w:numPr>
                <w:ilvl w:val="0"/>
                <w:numId w:val="23"/>
              </w:numPr>
              <w:spacing w:after="0" w:line="240" w:lineRule="auto"/>
              <w:rPr>
                <w:rFonts w:ascii="Times New Roman" w:hAnsi="Times New Roman" w:cs="Times New Roman"/>
                <w:sz w:val="20"/>
                <w:szCs w:val="20"/>
              </w:rPr>
            </w:pPr>
            <w:r w:rsidRPr="00F52394">
              <w:rPr>
                <w:rFonts w:ascii="Times" w:eastAsia="Batang" w:hAnsi="Times" w:cs="Times New Roman"/>
                <w:sz w:val="20"/>
                <w:szCs w:val="24"/>
              </w:rPr>
              <w:t>FFS: Whether and how to handle the case where the intra-carrier guard bands are part of a resource allocation</w:t>
            </w:r>
          </w:p>
        </w:tc>
      </w:tr>
    </w:tbl>
    <w:p w14:paraId="4EED0B87" w14:textId="6547E336" w:rsidR="00F52394" w:rsidRDefault="00F52394" w:rsidP="006F4E7C">
      <w:pPr>
        <w:rPr>
          <w:rFonts w:ascii="Times New Roman" w:hAnsi="Times New Roman" w:cs="Times New Roman"/>
          <w:sz w:val="20"/>
          <w:szCs w:val="20"/>
        </w:rPr>
      </w:pPr>
    </w:p>
    <w:p w14:paraId="4FC2CA06" w14:textId="4CD3EEDA" w:rsidR="00F52394" w:rsidRDefault="00127BD3" w:rsidP="006F4E7C">
      <w:pPr>
        <w:rPr>
          <w:rFonts w:ascii="Times New Roman" w:hAnsi="Times New Roman" w:cs="Times New Roman"/>
          <w:sz w:val="20"/>
          <w:szCs w:val="20"/>
        </w:rPr>
      </w:pPr>
      <w:r>
        <w:rPr>
          <w:rFonts w:ascii="Times New Roman" w:hAnsi="Times New Roman" w:cs="Times New Roman"/>
          <w:sz w:val="20"/>
          <w:szCs w:val="20"/>
        </w:rPr>
        <w:t>The remaining issue is captured in the FFS point, and will be discussed in this section.</w:t>
      </w:r>
    </w:p>
    <w:p w14:paraId="0D2A0C74" w14:textId="138AAE13" w:rsidR="0084498D" w:rsidRDefault="00E072F4" w:rsidP="006F4E7C">
      <w:pPr>
        <w:rPr>
          <w:rFonts w:ascii="Times New Roman" w:hAnsi="Times New Roman" w:cs="Times New Roman"/>
          <w:sz w:val="20"/>
          <w:szCs w:val="20"/>
        </w:rPr>
      </w:pPr>
      <w:r>
        <w:rPr>
          <w:rFonts w:ascii="Times New Roman" w:hAnsi="Times New Roman" w:cs="Times New Roman"/>
          <w:sz w:val="20"/>
          <w:szCs w:val="20"/>
        </w:rPr>
        <w:t xml:space="preserve">One option is to have static guard bands at the edges of each LBT bandwidth, regardless of whether one PDSCH is scheduled across multiple contiguous LBT bandwidths. </w:t>
      </w:r>
      <w:r w:rsidR="00AA1AEA">
        <w:rPr>
          <w:rFonts w:ascii="Times New Roman" w:eastAsia="MS Mincho" w:hAnsi="Times New Roman" w:cs="Times New Roman"/>
          <w:sz w:val="20"/>
          <w:szCs w:val="20"/>
        </w:rPr>
        <w:t>Figure</w:t>
      </w:r>
      <w:r w:rsidR="00AA1AEA">
        <w:rPr>
          <w:rFonts w:ascii="Times New Roman" w:hAnsi="Times New Roman" w:cs="Times New Roman"/>
          <w:sz w:val="20"/>
          <w:szCs w:val="20"/>
        </w:rPr>
        <w:t xml:space="preserve"> 2</w:t>
      </w:r>
      <w:r w:rsidR="00F310A0">
        <w:rPr>
          <w:rFonts w:ascii="Times New Roman" w:hAnsi="Times New Roman" w:cs="Times New Roman"/>
          <w:sz w:val="20"/>
          <w:szCs w:val="20"/>
        </w:rPr>
        <w:t xml:space="preserve"> illustrates one such example. </w:t>
      </w:r>
      <w:r w:rsidR="0084498D">
        <w:rPr>
          <w:rFonts w:ascii="Times New Roman" w:hAnsi="Times New Roman" w:cs="Times New Roman"/>
          <w:sz w:val="20"/>
          <w:szCs w:val="20"/>
        </w:rPr>
        <w:t>Then the frequency resource for allocation is defined by excluding the in-carrier guard band.</w:t>
      </w:r>
      <w:r w:rsidR="00932299">
        <w:rPr>
          <w:rFonts w:ascii="Times New Roman" w:hAnsi="Times New Roman" w:cs="Times New Roman"/>
          <w:sz w:val="20"/>
          <w:szCs w:val="20"/>
        </w:rPr>
        <w:t xml:space="preserve"> There are two issues for this option. The first one is that the frequency resource utilization is compromised because those static guard bands can never be scheduled by gNB. The second issue is that</w:t>
      </w:r>
      <w:r w:rsidR="00127BD3">
        <w:rPr>
          <w:rFonts w:ascii="Times New Roman" w:hAnsi="Times New Roman" w:cs="Times New Roman"/>
          <w:sz w:val="20"/>
          <w:szCs w:val="20"/>
        </w:rPr>
        <w:t xml:space="preserve"> if semi-static adjustment of in-carrier guard band is not configured,</w:t>
      </w:r>
      <w:r w:rsidR="00932299">
        <w:rPr>
          <w:rFonts w:ascii="Times New Roman" w:hAnsi="Times New Roman" w:cs="Times New Roman"/>
          <w:sz w:val="20"/>
          <w:szCs w:val="20"/>
        </w:rPr>
        <w:t xml:space="preserve"> the amount of in-carrier guard band will be defined by RAN4</w:t>
      </w:r>
      <w:r w:rsidR="00127BD3">
        <w:rPr>
          <w:rFonts w:ascii="Times New Roman" w:hAnsi="Times New Roman" w:cs="Times New Roman"/>
          <w:sz w:val="20"/>
          <w:szCs w:val="20"/>
        </w:rPr>
        <w:t xml:space="preserve"> (as minimum guard band requirement) per the above agreement</w:t>
      </w:r>
      <w:r w:rsidR="00932299">
        <w:rPr>
          <w:rFonts w:ascii="Times New Roman" w:hAnsi="Times New Roman" w:cs="Times New Roman"/>
          <w:sz w:val="20"/>
          <w:szCs w:val="20"/>
        </w:rPr>
        <w:t xml:space="preserve">. By coupling the decision of resource allocation design (e.g. the starting point, and granularity of the frequency resource unit) in RAN1 with the amount of in-carrier guard band by RAN4 would not help the two working groups to perform their designs in parallel. Instead, it is preferable for RAN1 to come up with the resource allocation design which is applicable for any value of in-carrier guard band which may be defined later by RAN4. </w:t>
      </w:r>
    </w:p>
    <w:p w14:paraId="7663F153" w14:textId="7AA082D9" w:rsidR="00E072F4" w:rsidRDefault="00E072F4" w:rsidP="006F4E7C">
      <w:pPr>
        <w:rPr>
          <w:rFonts w:ascii="Times New Roman" w:hAnsi="Times New Roman" w:cs="Times New Roman"/>
          <w:sz w:val="20"/>
          <w:szCs w:val="20"/>
        </w:rPr>
      </w:pPr>
      <w:r>
        <w:rPr>
          <w:rFonts w:ascii="Times New Roman" w:hAnsi="Times New Roman" w:cs="Times New Roman"/>
          <w:sz w:val="20"/>
          <w:szCs w:val="20"/>
        </w:rPr>
        <w:t>Another option to configure dynamic</w:t>
      </w:r>
      <w:r w:rsidR="00840490">
        <w:rPr>
          <w:rFonts w:ascii="Times New Roman" w:hAnsi="Times New Roman" w:cs="Times New Roman"/>
          <w:sz w:val="20"/>
          <w:szCs w:val="20"/>
        </w:rPr>
        <w:t xml:space="preserve"> in-carrier</w:t>
      </w:r>
      <w:r>
        <w:rPr>
          <w:rFonts w:ascii="Times New Roman" w:hAnsi="Times New Roman" w:cs="Times New Roman"/>
          <w:sz w:val="20"/>
          <w:szCs w:val="20"/>
        </w:rPr>
        <w:t xml:space="preserve"> guard band only at the outer edges of the union of LBT bandwidths acquired by the gNB.</w:t>
      </w:r>
      <w:r w:rsidR="00F310A0">
        <w:rPr>
          <w:rFonts w:ascii="Times New Roman" w:hAnsi="Times New Roman" w:cs="Times New Roman"/>
          <w:sz w:val="20"/>
          <w:szCs w:val="20"/>
        </w:rPr>
        <w:t xml:space="preserve"> Please see </w:t>
      </w:r>
      <w:r w:rsidR="00AA1AEA">
        <w:rPr>
          <w:rFonts w:ascii="Times New Roman" w:eastAsia="MS Mincho" w:hAnsi="Times New Roman" w:cs="Times New Roman"/>
          <w:sz w:val="20"/>
          <w:szCs w:val="20"/>
        </w:rPr>
        <w:t>Figure</w:t>
      </w:r>
      <w:r w:rsidR="00AA1AEA">
        <w:rPr>
          <w:rFonts w:ascii="Times New Roman" w:hAnsi="Times New Roman" w:cs="Times New Roman"/>
          <w:sz w:val="20"/>
          <w:szCs w:val="20"/>
        </w:rPr>
        <w:t xml:space="preserve"> 3</w:t>
      </w:r>
      <w:r w:rsidR="00F310A0">
        <w:rPr>
          <w:rFonts w:ascii="Times New Roman" w:hAnsi="Times New Roman" w:cs="Times New Roman"/>
          <w:sz w:val="20"/>
          <w:szCs w:val="20"/>
        </w:rPr>
        <w:t xml:space="preserve"> for an example.</w:t>
      </w:r>
      <w:r w:rsidR="00932299">
        <w:rPr>
          <w:rFonts w:ascii="Times New Roman" w:hAnsi="Times New Roman" w:cs="Times New Roman"/>
          <w:sz w:val="20"/>
          <w:szCs w:val="20"/>
        </w:rPr>
        <w:t xml:space="preserve"> For this </w:t>
      </w:r>
      <w:r w:rsidR="00720105">
        <w:rPr>
          <w:rFonts w:ascii="Times New Roman" w:hAnsi="Times New Roman" w:cs="Times New Roman"/>
          <w:sz w:val="20"/>
          <w:szCs w:val="20"/>
        </w:rPr>
        <w:t xml:space="preserve">option, </w:t>
      </w:r>
      <w:r w:rsidR="00EB694F">
        <w:rPr>
          <w:rFonts w:ascii="Times New Roman" w:hAnsi="Times New Roman" w:cs="Times New Roman"/>
          <w:sz w:val="20"/>
          <w:szCs w:val="20"/>
        </w:rPr>
        <w:t xml:space="preserve">when configuring the LBT bandwidths, the frequency resources for each LBT bandwidth need not consider the presence of any in-carrier guard band. In other words, the frequency range for each LBT bandwidth can include the PRBs which could be potentially used for in-carrier guard band. Then the </w:t>
      </w:r>
      <w:r w:rsidR="00720105">
        <w:rPr>
          <w:rFonts w:ascii="Times New Roman" w:hAnsi="Times New Roman" w:cs="Times New Roman"/>
          <w:sz w:val="20"/>
          <w:szCs w:val="20"/>
        </w:rPr>
        <w:t xml:space="preserve">frequency domain occupancy indication </w:t>
      </w:r>
      <w:r w:rsidR="00932299">
        <w:rPr>
          <w:rFonts w:ascii="Times New Roman" w:hAnsi="Times New Roman" w:cs="Times New Roman"/>
          <w:sz w:val="20"/>
          <w:szCs w:val="20"/>
        </w:rPr>
        <w:t xml:space="preserve">(e.g. bitmap indication as agreed in RAN1#98) </w:t>
      </w:r>
      <w:r w:rsidR="00720105">
        <w:rPr>
          <w:rFonts w:ascii="Times New Roman" w:hAnsi="Times New Roman" w:cs="Times New Roman"/>
          <w:sz w:val="20"/>
          <w:szCs w:val="20"/>
        </w:rPr>
        <w:t>can be used as a guard band enabler. Once UE knows which LBT bandwidths are available and unavailable, the presence of the guard band will be known to the UE.</w:t>
      </w:r>
      <w:r w:rsidR="00932299">
        <w:rPr>
          <w:rFonts w:ascii="Times New Roman" w:hAnsi="Times New Roman" w:cs="Times New Roman"/>
          <w:sz w:val="20"/>
          <w:szCs w:val="20"/>
        </w:rPr>
        <w:t xml:space="preserve"> </w:t>
      </w:r>
      <w:r w:rsidR="00840490">
        <w:rPr>
          <w:rFonts w:ascii="Times New Roman" w:hAnsi="Times New Roman" w:cs="Times New Roman"/>
          <w:sz w:val="20"/>
          <w:szCs w:val="20"/>
        </w:rPr>
        <w:t>In such way, the spectrum efficiency is improved</w:t>
      </w:r>
      <w:r w:rsidR="00720105">
        <w:rPr>
          <w:rFonts w:ascii="Times New Roman" w:hAnsi="Times New Roman" w:cs="Times New Roman"/>
          <w:sz w:val="20"/>
          <w:szCs w:val="20"/>
        </w:rPr>
        <w:t>.</w:t>
      </w:r>
      <w:r w:rsidR="00840490">
        <w:rPr>
          <w:rFonts w:ascii="Times New Roman" w:hAnsi="Times New Roman" w:cs="Times New Roman"/>
          <w:sz w:val="20"/>
          <w:szCs w:val="20"/>
        </w:rPr>
        <w:t xml:space="preserve"> </w:t>
      </w:r>
      <w:r w:rsidR="00126294">
        <w:rPr>
          <w:rFonts w:ascii="Times New Roman" w:hAnsi="Times New Roman" w:cs="Times New Roman"/>
          <w:sz w:val="20"/>
          <w:szCs w:val="20"/>
        </w:rPr>
        <w:t xml:space="preserve">This option can also support </w:t>
      </w:r>
      <w:r w:rsidR="00840490">
        <w:rPr>
          <w:rFonts w:ascii="Times New Roman" w:hAnsi="Times New Roman" w:cs="Times New Roman"/>
          <w:sz w:val="20"/>
          <w:szCs w:val="20"/>
        </w:rPr>
        <w:t>that the frequency resource allocation can be designed without considering the existence of the in-carrier guard band.</w:t>
      </w:r>
      <w:r w:rsidR="00126294">
        <w:rPr>
          <w:rFonts w:ascii="Times New Roman" w:hAnsi="Times New Roman" w:cs="Times New Roman"/>
          <w:sz w:val="20"/>
          <w:szCs w:val="20"/>
        </w:rPr>
        <w:t xml:space="preserve"> </w:t>
      </w:r>
      <w:r w:rsidR="00840490">
        <w:rPr>
          <w:rFonts w:ascii="Times New Roman" w:hAnsi="Times New Roman" w:cs="Times New Roman"/>
          <w:sz w:val="20"/>
          <w:szCs w:val="20"/>
        </w:rPr>
        <w:t>Once in-carrier guard band is needed, a pre-configured amount will be activated by frequency domain occupancy indication, and those REs will not be used for data mapping. C</w:t>
      </w:r>
      <w:r w:rsidR="00126294">
        <w:rPr>
          <w:rFonts w:ascii="Times New Roman" w:hAnsi="Times New Roman" w:cs="Times New Roman"/>
          <w:sz w:val="20"/>
          <w:szCs w:val="20"/>
        </w:rPr>
        <w:t xml:space="preserve">orrespondingly, UE can correctly de-map the transmitted data by jointly considering the frequency domain resource allocation and frequency domain occupancy structure. </w:t>
      </w:r>
      <w:r w:rsidR="00720105">
        <w:rPr>
          <w:rFonts w:ascii="Times New Roman" w:hAnsi="Times New Roman" w:cs="Times New Roman"/>
          <w:sz w:val="20"/>
          <w:szCs w:val="20"/>
        </w:rPr>
        <w:t xml:space="preserve"> </w:t>
      </w:r>
      <w:r>
        <w:rPr>
          <w:rFonts w:ascii="Times New Roman" w:hAnsi="Times New Roman" w:cs="Times New Roman"/>
          <w:sz w:val="20"/>
          <w:szCs w:val="20"/>
        </w:rPr>
        <w:t xml:space="preserve">  </w:t>
      </w:r>
    </w:p>
    <w:p w14:paraId="14941174" w14:textId="12A9FC96" w:rsidR="006358D5" w:rsidRPr="009913E0" w:rsidRDefault="006358D5" w:rsidP="006F4E7C">
      <w:pPr>
        <w:rPr>
          <w:rFonts w:ascii="Times New Roman" w:hAnsi="Times New Roman" w:cs="Times New Roman"/>
          <w:b/>
          <w:sz w:val="20"/>
          <w:szCs w:val="20"/>
        </w:rPr>
      </w:pPr>
      <w:r w:rsidRPr="009913E0">
        <w:rPr>
          <w:rFonts w:ascii="Times New Roman" w:hAnsi="Times New Roman" w:cs="Times New Roman"/>
          <w:b/>
          <w:sz w:val="20"/>
          <w:szCs w:val="20"/>
        </w:rPr>
        <w:t xml:space="preserve">Proposal </w:t>
      </w:r>
      <w:r w:rsidR="002B0F92">
        <w:rPr>
          <w:rFonts w:ascii="Times New Roman" w:hAnsi="Times New Roman" w:cs="Times New Roman"/>
          <w:b/>
          <w:sz w:val="20"/>
          <w:szCs w:val="20"/>
        </w:rPr>
        <w:t xml:space="preserve">3: </w:t>
      </w:r>
      <w:r w:rsidR="00610397">
        <w:rPr>
          <w:rFonts w:ascii="Times New Roman" w:hAnsi="Times New Roman" w:cs="Times New Roman"/>
          <w:b/>
          <w:sz w:val="20"/>
          <w:szCs w:val="20"/>
        </w:rPr>
        <w:t>The PRBs configured for intra-carrier guard band can be part of frequency resource allocation</w:t>
      </w:r>
      <w:r w:rsidR="00141624">
        <w:rPr>
          <w:rFonts w:ascii="Times New Roman" w:hAnsi="Times New Roman" w:cs="Times New Roman"/>
          <w:b/>
          <w:sz w:val="20"/>
          <w:szCs w:val="20"/>
        </w:rPr>
        <w:t xml:space="preserve"> of PDCCH</w:t>
      </w:r>
      <w:r w:rsidR="00610397">
        <w:rPr>
          <w:rFonts w:ascii="Times New Roman" w:hAnsi="Times New Roman" w:cs="Times New Roman"/>
          <w:b/>
          <w:sz w:val="20"/>
          <w:szCs w:val="20"/>
        </w:rPr>
        <w:t xml:space="preserve">. </w:t>
      </w:r>
      <w:r w:rsidR="009755EB">
        <w:rPr>
          <w:rFonts w:ascii="Times New Roman" w:hAnsi="Times New Roman" w:cs="Times New Roman"/>
          <w:b/>
          <w:sz w:val="20"/>
          <w:szCs w:val="20"/>
        </w:rPr>
        <w:t>Frequency domain occupancy indication in GC-PDCCH is used for the</w:t>
      </w:r>
      <w:r w:rsidR="009755EB">
        <w:rPr>
          <w:rFonts w:ascii="Times New Roman" w:eastAsia="MS Mincho" w:hAnsi="Times New Roman" w:cs="Times New Roman" w:hint="eastAsia"/>
          <w:b/>
          <w:sz w:val="20"/>
          <w:szCs w:val="20"/>
        </w:rPr>
        <w:t xml:space="preserve"> </w:t>
      </w:r>
      <w:r w:rsidR="00F35EF6">
        <w:rPr>
          <w:rFonts w:ascii="Times New Roman" w:eastAsia="MS Mincho" w:hAnsi="Times New Roman" w:cs="Times New Roman"/>
          <w:b/>
          <w:sz w:val="20"/>
          <w:szCs w:val="20"/>
        </w:rPr>
        <w:t xml:space="preserve">dynamic </w:t>
      </w:r>
      <w:r w:rsidR="009755EB">
        <w:rPr>
          <w:rFonts w:ascii="Times New Roman" w:hAnsi="Times New Roman" w:cs="Times New Roman"/>
          <w:b/>
          <w:sz w:val="20"/>
          <w:szCs w:val="20"/>
        </w:rPr>
        <w:t>indication of the existence of in</w:t>
      </w:r>
      <w:r w:rsidR="00141624">
        <w:rPr>
          <w:rFonts w:ascii="Times New Roman" w:hAnsi="Times New Roman" w:cs="Times New Roman"/>
          <w:b/>
          <w:sz w:val="20"/>
          <w:szCs w:val="20"/>
        </w:rPr>
        <w:t>tra</w:t>
      </w:r>
      <w:r w:rsidR="009755EB">
        <w:rPr>
          <w:rFonts w:ascii="Times New Roman" w:hAnsi="Times New Roman" w:cs="Times New Roman"/>
          <w:b/>
          <w:sz w:val="20"/>
          <w:szCs w:val="20"/>
        </w:rPr>
        <w:t>-carrier guard band.</w:t>
      </w:r>
    </w:p>
    <w:p w14:paraId="568F37EE" w14:textId="6C9912E1" w:rsidR="00E072F4" w:rsidRDefault="00E072F4" w:rsidP="006F4E7C">
      <w:pPr>
        <w:rPr>
          <w:rFonts w:ascii="Times New Roman" w:hAnsi="Times New Roman" w:cs="Times New Roman"/>
          <w:sz w:val="20"/>
          <w:szCs w:val="20"/>
        </w:rPr>
      </w:pPr>
    </w:p>
    <w:p w14:paraId="62F6C09A" w14:textId="061C5FDF" w:rsidR="00301661" w:rsidRDefault="00FB4589" w:rsidP="00880D3E">
      <w:pPr>
        <w:spacing w:before="120" w:after="120"/>
        <w:rPr>
          <w:rFonts w:ascii="Times New Roman" w:hAnsi="Times New Roman" w:cs="Times New Roman"/>
          <w:sz w:val="20"/>
          <w:szCs w:val="20"/>
          <w:lang w:eastAsia="en-US"/>
        </w:rPr>
      </w:pPr>
      <w:r>
        <w:rPr>
          <w:rFonts w:ascii="Times New Roman" w:hAnsi="Times New Roman" w:cs="Times New Roman"/>
          <w:sz w:val="20"/>
          <w:szCs w:val="20"/>
          <w:lang w:eastAsia="en-US"/>
        </w:rPr>
        <w:lastRenderedPageBreak/>
        <w:t xml:space="preserve"> </w:t>
      </w:r>
      <w:r w:rsidR="003611A3">
        <w:rPr>
          <w:rFonts w:ascii="Times New Roman" w:hAnsi="Times New Roman" w:cs="Times New Roman"/>
          <w:noProof/>
          <w:sz w:val="20"/>
          <w:szCs w:val="20"/>
        </w:rPr>
        <w:drawing>
          <wp:inline distT="0" distB="0" distL="0" distR="0" wp14:anchorId="18FBEE0B" wp14:editId="726B0816">
            <wp:extent cx="5829300" cy="3432724"/>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36478" cy="3436951"/>
                    </a:xfrm>
                    <a:prstGeom prst="rect">
                      <a:avLst/>
                    </a:prstGeom>
                    <a:noFill/>
                  </pic:spPr>
                </pic:pic>
              </a:graphicData>
            </a:graphic>
          </wp:inline>
        </w:drawing>
      </w:r>
      <w:bookmarkStart w:id="2" w:name="_GoBack"/>
      <w:bookmarkEnd w:id="2"/>
    </w:p>
    <w:p w14:paraId="7C4F6E90" w14:textId="12A5D916" w:rsidR="003D5C6F" w:rsidRPr="00880D3E" w:rsidRDefault="00DB18F2" w:rsidP="00880D3E">
      <w:pPr>
        <w:spacing w:before="120" w:after="120"/>
        <w:rPr>
          <w:rFonts w:ascii="Times New Roman" w:hAnsi="Times New Roman" w:cs="Times New Roman"/>
          <w:sz w:val="20"/>
          <w:szCs w:val="20"/>
          <w:lang w:eastAsia="en-US"/>
        </w:rPr>
      </w:pPr>
      <w:r>
        <w:rPr>
          <w:rFonts w:ascii="Times New Roman" w:hAnsi="Times New Roman" w:cs="Times New Roman"/>
          <w:sz w:val="20"/>
          <w:szCs w:val="20"/>
          <w:lang w:eastAsia="en-US"/>
        </w:rPr>
        <w:t xml:space="preserve">  </w:t>
      </w:r>
      <w:r w:rsidR="0053355A">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 </w:t>
      </w:r>
      <w:r w:rsidR="0053355A">
        <w:rPr>
          <w:rFonts w:ascii="Times New Roman" w:hAnsi="Times New Roman" w:cs="Times New Roman"/>
          <w:sz w:val="20"/>
          <w:szCs w:val="20"/>
          <w:lang w:eastAsia="en-US"/>
        </w:rPr>
        <w:t xml:space="preserve">  </w:t>
      </w:r>
      <w:r w:rsidR="003D5C6F">
        <w:rPr>
          <w:rFonts w:ascii="Times New Roman" w:hAnsi="Times New Roman" w:cs="Times New Roman"/>
          <w:sz w:val="20"/>
          <w:szCs w:val="20"/>
          <w:lang w:eastAsia="en-US"/>
        </w:rPr>
        <w:t xml:space="preserve"> </w:t>
      </w:r>
      <w:r w:rsidR="00AA1AEA">
        <w:rPr>
          <w:rFonts w:ascii="Times New Roman" w:hAnsi="Times New Roman" w:cs="Times New Roman"/>
          <w:sz w:val="20"/>
          <w:szCs w:val="20"/>
          <w:lang w:eastAsia="en-US"/>
        </w:rPr>
        <w:t>Figure 2.</w:t>
      </w:r>
      <w:r w:rsidR="00277453">
        <w:rPr>
          <w:rFonts w:ascii="Times New Roman" w:hAnsi="Times New Roman" w:cs="Times New Roman"/>
          <w:sz w:val="20"/>
          <w:szCs w:val="20"/>
          <w:lang w:eastAsia="en-US"/>
        </w:rPr>
        <w:t xml:space="preserve"> Static </w:t>
      </w:r>
      <w:r w:rsidR="00301661">
        <w:rPr>
          <w:rFonts w:ascii="Times New Roman" w:hAnsi="Times New Roman" w:cs="Times New Roman"/>
          <w:sz w:val="20"/>
          <w:szCs w:val="20"/>
          <w:lang w:eastAsia="en-US"/>
        </w:rPr>
        <w:t xml:space="preserve">intra-carrier </w:t>
      </w:r>
      <w:r w:rsidR="00277453">
        <w:rPr>
          <w:rFonts w:ascii="Times New Roman" w:hAnsi="Times New Roman" w:cs="Times New Roman"/>
          <w:sz w:val="20"/>
          <w:szCs w:val="20"/>
          <w:lang w:eastAsia="en-US"/>
        </w:rPr>
        <w:t xml:space="preserve">guard band </w:t>
      </w:r>
      <w:r w:rsidR="00277453">
        <w:rPr>
          <w:rFonts w:ascii="Times New Roman" w:hAnsi="Times New Roman" w:cs="Times New Roman"/>
          <w:sz w:val="20"/>
          <w:szCs w:val="20"/>
          <w:lang w:eastAsia="en-US"/>
        </w:rPr>
        <w:tab/>
      </w:r>
      <w:r w:rsidR="00277453">
        <w:rPr>
          <w:rFonts w:ascii="Times New Roman" w:hAnsi="Times New Roman" w:cs="Times New Roman"/>
          <w:sz w:val="20"/>
          <w:szCs w:val="20"/>
          <w:lang w:eastAsia="en-US"/>
        </w:rPr>
        <w:tab/>
      </w:r>
      <w:r w:rsidR="00277453">
        <w:rPr>
          <w:rFonts w:ascii="Times New Roman" w:hAnsi="Times New Roman" w:cs="Times New Roman"/>
          <w:sz w:val="20"/>
          <w:szCs w:val="20"/>
          <w:lang w:eastAsia="en-US"/>
        </w:rPr>
        <w:tab/>
      </w:r>
      <w:r>
        <w:rPr>
          <w:rFonts w:ascii="Times New Roman" w:hAnsi="Times New Roman" w:cs="Times New Roman"/>
          <w:sz w:val="20"/>
          <w:szCs w:val="20"/>
          <w:lang w:eastAsia="en-US"/>
        </w:rPr>
        <w:t xml:space="preserve">  </w:t>
      </w:r>
      <w:r w:rsidR="00AA1AEA">
        <w:rPr>
          <w:rFonts w:ascii="Times New Roman" w:hAnsi="Times New Roman" w:cs="Times New Roman"/>
          <w:sz w:val="20"/>
          <w:szCs w:val="20"/>
          <w:lang w:eastAsia="en-US"/>
        </w:rPr>
        <w:t xml:space="preserve">Figure 3. </w:t>
      </w:r>
      <w:r w:rsidR="00277453">
        <w:rPr>
          <w:rFonts w:ascii="Times New Roman" w:hAnsi="Times New Roman" w:cs="Times New Roman"/>
          <w:sz w:val="20"/>
          <w:szCs w:val="20"/>
          <w:lang w:eastAsia="en-US"/>
        </w:rPr>
        <w:t xml:space="preserve">Dynamic </w:t>
      </w:r>
      <w:r w:rsidR="00301661">
        <w:rPr>
          <w:rFonts w:ascii="Times New Roman" w:hAnsi="Times New Roman" w:cs="Times New Roman"/>
          <w:sz w:val="20"/>
          <w:szCs w:val="20"/>
          <w:lang w:eastAsia="en-US"/>
        </w:rPr>
        <w:t xml:space="preserve">intra-carrier </w:t>
      </w:r>
      <w:r w:rsidR="00277453">
        <w:rPr>
          <w:rFonts w:ascii="Times New Roman" w:hAnsi="Times New Roman" w:cs="Times New Roman"/>
          <w:sz w:val="20"/>
          <w:szCs w:val="20"/>
          <w:lang w:eastAsia="en-US"/>
        </w:rPr>
        <w:t>guard band</w:t>
      </w:r>
    </w:p>
    <w:p w14:paraId="715F2328" w14:textId="77777777" w:rsidR="000F3343" w:rsidRPr="00880D3E" w:rsidRDefault="000F3343" w:rsidP="001632FD">
      <w:pPr>
        <w:pStyle w:val="BodyText"/>
        <w:rPr>
          <w:rFonts w:ascii="Times New Roman" w:hAnsi="Times New Roman" w:cs="Times New Roman"/>
          <w:sz w:val="20"/>
          <w:szCs w:val="20"/>
          <w:lang w:eastAsia="en-US"/>
        </w:rPr>
      </w:pPr>
    </w:p>
    <w:p w14:paraId="357BA1E3" w14:textId="3E09A0E6" w:rsidR="004B155E" w:rsidRPr="00DC33E4" w:rsidRDefault="004B155E" w:rsidP="004B155E">
      <w:pPr>
        <w:pStyle w:val="Heading1"/>
        <w:rPr>
          <w:lang w:val="en-US"/>
        </w:rPr>
      </w:pPr>
      <w:r>
        <w:rPr>
          <w:lang w:val="en-US"/>
        </w:rPr>
        <w:t>Conclusion</w:t>
      </w:r>
    </w:p>
    <w:p w14:paraId="4B4C258C" w14:textId="63C011E9" w:rsidR="004B155E" w:rsidRDefault="004B155E" w:rsidP="004B155E">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Based on the discussion, we </w:t>
      </w:r>
      <w:r w:rsidR="00A35130">
        <w:rPr>
          <w:rFonts w:ascii="Times New Roman" w:hAnsi="Times New Roman" w:cs="Times New Roman"/>
          <w:b w:val="0"/>
          <w:bCs w:val="0"/>
          <w:sz w:val="20"/>
          <w:szCs w:val="20"/>
          <w:lang w:eastAsia="en-US"/>
        </w:rPr>
        <w:t xml:space="preserve">have the following </w:t>
      </w:r>
      <w:r w:rsidR="00BB3E6E">
        <w:rPr>
          <w:rFonts w:ascii="Times New Roman" w:hAnsi="Times New Roman" w:cs="Times New Roman"/>
          <w:b w:val="0"/>
          <w:bCs w:val="0"/>
          <w:sz w:val="20"/>
          <w:szCs w:val="20"/>
          <w:lang w:eastAsia="en-US"/>
        </w:rPr>
        <w:t>proposal</w:t>
      </w:r>
      <w:r w:rsidR="00A35130">
        <w:rPr>
          <w:rFonts w:ascii="Times New Roman" w:hAnsi="Times New Roman" w:cs="Times New Roman"/>
          <w:b w:val="0"/>
          <w:bCs w:val="0"/>
          <w:sz w:val="20"/>
          <w:szCs w:val="20"/>
          <w:lang w:eastAsia="en-US"/>
        </w:rPr>
        <w:t>:</w:t>
      </w:r>
      <w:r>
        <w:rPr>
          <w:rFonts w:ascii="Times New Roman" w:hAnsi="Times New Roman" w:cs="Times New Roman"/>
          <w:b w:val="0"/>
          <w:bCs w:val="0"/>
          <w:sz w:val="20"/>
          <w:szCs w:val="20"/>
          <w:lang w:eastAsia="en-US"/>
        </w:rPr>
        <w:t xml:space="preserve"> </w:t>
      </w:r>
    </w:p>
    <w:p w14:paraId="2D9ABEB7" w14:textId="6EDE55C4" w:rsidR="00834D48" w:rsidRDefault="00834D48" w:rsidP="00834D48">
      <w:pPr>
        <w:rPr>
          <w:rFonts w:ascii="Times New Roman" w:hAnsi="Times New Roman" w:cs="Times New Roman"/>
          <w:b/>
          <w:sz w:val="20"/>
          <w:szCs w:val="20"/>
        </w:rPr>
      </w:pPr>
      <w:r>
        <w:rPr>
          <w:rFonts w:ascii="Times New Roman" w:hAnsi="Times New Roman" w:cs="Times New Roman"/>
          <w:b/>
          <w:sz w:val="20"/>
          <w:szCs w:val="20"/>
        </w:rPr>
        <w:t>Proposal 1</w:t>
      </w:r>
      <w:r w:rsidRPr="009913E0">
        <w:rPr>
          <w:rFonts w:ascii="Times New Roman" w:hAnsi="Times New Roman" w:cs="Times New Roman"/>
          <w:b/>
          <w:sz w:val="20"/>
          <w:szCs w:val="20"/>
        </w:rPr>
        <w:t>:</w:t>
      </w:r>
      <w:r>
        <w:rPr>
          <w:rFonts w:ascii="Times New Roman" w:hAnsi="Times New Roman" w:cs="Times New Roman"/>
          <w:b/>
          <w:sz w:val="20"/>
          <w:szCs w:val="20"/>
        </w:rPr>
        <w:t xml:space="preserve"> The number of BDs per LBT bandwidth can be varied from slot boundary depending on the number of available LBT bandwidths after DL burst is detected.</w:t>
      </w:r>
    </w:p>
    <w:p w14:paraId="663A8DE7" w14:textId="77777777" w:rsidR="00DF3F1F" w:rsidRPr="00D07CE6" w:rsidRDefault="00DF3F1F" w:rsidP="00DF3F1F">
      <w:pPr>
        <w:rPr>
          <w:rFonts w:ascii="Times New Roman" w:hAnsi="Times New Roman" w:cs="Times New Roman"/>
          <w:b/>
          <w:sz w:val="20"/>
          <w:szCs w:val="20"/>
        </w:rPr>
      </w:pPr>
      <w:r>
        <w:rPr>
          <w:rFonts w:ascii="Times New Roman" w:hAnsi="Times New Roman" w:cs="Times New Roman"/>
          <w:b/>
          <w:sz w:val="20"/>
          <w:szCs w:val="20"/>
        </w:rPr>
        <w:t>Proposal 2:</w:t>
      </w:r>
      <w:r w:rsidRPr="00D07CE6">
        <w:rPr>
          <w:rFonts w:ascii="Times New Roman" w:hAnsi="Times New Roman" w:cs="Times New Roman"/>
          <w:b/>
          <w:sz w:val="20"/>
          <w:szCs w:val="20"/>
        </w:rPr>
        <w:t xml:space="preserve"> In case of search space set configuration associated with the CORESET has multiple monitoring locations in the frequency domain, overbooking of PDCCH candidates should be allowed. </w:t>
      </w:r>
    </w:p>
    <w:p w14:paraId="6F62D326" w14:textId="77777777" w:rsidR="00DF3F1F" w:rsidRDefault="00DF3F1F" w:rsidP="00DF3F1F">
      <w:pPr>
        <w:ind w:firstLine="567"/>
        <w:rPr>
          <w:rFonts w:ascii="Times New Roman" w:hAnsi="Times New Roman" w:cs="Times New Roman"/>
          <w:b/>
          <w:sz w:val="20"/>
          <w:szCs w:val="20"/>
          <w:lang w:eastAsia="en-US"/>
        </w:rPr>
      </w:pPr>
      <w:r>
        <w:rPr>
          <w:rFonts w:ascii="Times New Roman" w:hAnsi="Times New Roman" w:cs="Times New Roman"/>
          <w:b/>
          <w:sz w:val="20"/>
          <w:szCs w:val="20"/>
          <w:lang w:eastAsia="en-US"/>
        </w:rPr>
        <w:t>- D</w:t>
      </w:r>
      <w:r w:rsidRPr="00D07CE6">
        <w:rPr>
          <w:rFonts w:ascii="Times New Roman" w:hAnsi="Times New Roman" w:cs="Times New Roman"/>
          <w:b/>
          <w:sz w:val="20"/>
          <w:szCs w:val="20"/>
          <w:lang w:eastAsia="en-US"/>
        </w:rPr>
        <w:t>ropping rules are applied to ensure the BD/CCE limits are met</w:t>
      </w:r>
      <w:r>
        <w:rPr>
          <w:rFonts w:ascii="Times New Roman" w:hAnsi="Times New Roman" w:cs="Times New Roman"/>
          <w:b/>
          <w:sz w:val="20"/>
          <w:szCs w:val="20"/>
          <w:lang w:eastAsia="en-US"/>
        </w:rPr>
        <w:t xml:space="preserve"> for the set of actually monitored LBT bandwidths</w:t>
      </w:r>
      <w:r w:rsidRPr="00D07CE6">
        <w:rPr>
          <w:rFonts w:ascii="Times New Roman" w:hAnsi="Times New Roman" w:cs="Times New Roman"/>
          <w:b/>
          <w:sz w:val="20"/>
          <w:szCs w:val="20"/>
          <w:lang w:eastAsia="en-US"/>
        </w:rPr>
        <w:t xml:space="preserve">. </w:t>
      </w:r>
    </w:p>
    <w:p w14:paraId="3D4B38CA" w14:textId="53871AE9" w:rsidR="00DF3F1F" w:rsidRPr="00D07CE6" w:rsidRDefault="00610397" w:rsidP="00DF3F1F">
      <w:pPr>
        <w:ind w:firstLine="567"/>
        <w:rPr>
          <w:rFonts w:ascii="Times New Roman" w:hAnsi="Times New Roman" w:cs="Times New Roman"/>
          <w:b/>
          <w:sz w:val="20"/>
          <w:szCs w:val="20"/>
          <w:lang w:eastAsia="en-US"/>
        </w:rPr>
      </w:pPr>
      <w:r>
        <w:rPr>
          <w:rFonts w:ascii="Times New Roman" w:hAnsi="Times New Roman" w:cs="Times New Roman"/>
          <w:b/>
          <w:sz w:val="20"/>
          <w:szCs w:val="20"/>
          <w:lang w:eastAsia="en-US"/>
        </w:rPr>
        <w:tab/>
      </w:r>
      <w:r w:rsidR="00DF3F1F">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 PDCCH candidates in non-prioritized LBT bandwidths are dropped, and/or SS set with higher ID is dropped</w:t>
      </w:r>
    </w:p>
    <w:p w14:paraId="04EC973F" w14:textId="4B19EA7C" w:rsidR="00DF3F1F" w:rsidRPr="009913E0" w:rsidRDefault="00DF3F1F" w:rsidP="00DF3F1F">
      <w:pPr>
        <w:rPr>
          <w:rFonts w:ascii="Times New Roman" w:hAnsi="Times New Roman" w:cs="Times New Roman"/>
          <w:b/>
          <w:sz w:val="20"/>
          <w:szCs w:val="20"/>
        </w:rPr>
      </w:pPr>
      <w:r w:rsidRPr="009913E0">
        <w:rPr>
          <w:rFonts w:ascii="Times New Roman" w:hAnsi="Times New Roman" w:cs="Times New Roman"/>
          <w:b/>
          <w:sz w:val="20"/>
          <w:szCs w:val="20"/>
        </w:rPr>
        <w:t xml:space="preserve">Proposal </w:t>
      </w:r>
      <w:r>
        <w:rPr>
          <w:rFonts w:ascii="Times New Roman" w:hAnsi="Times New Roman" w:cs="Times New Roman"/>
          <w:b/>
          <w:sz w:val="20"/>
          <w:szCs w:val="20"/>
        </w:rPr>
        <w:t xml:space="preserve">3: </w:t>
      </w:r>
      <w:r w:rsidR="00610397">
        <w:rPr>
          <w:rFonts w:ascii="Times New Roman" w:hAnsi="Times New Roman" w:cs="Times New Roman"/>
          <w:b/>
          <w:sz w:val="20"/>
          <w:szCs w:val="20"/>
        </w:rPr>
        <w:t>The PRBs configured for intra-carrier guard band can be part of frequency resource allocation</w:t>
      </w:r>
      <w:r w:rsidR="00301661">
        <w:rPr>
          <w:rFonts w:ascii="Times New Roman" w:hAnsi="Times New Roman" w:cs="Times New Roman"/>
          <w:b/>
          <w:sz w:val="20"/>
          <w:szCs w:val="20"/>
        </w:rPr>
        <w:t xml:space="preserve"> of PDCCH</w:t>
      </w:r>
      <w:r w:rsidR="00610397">
        <w:rPr>
          <w:rFonts w:ascii="Times New Roman" w:hAnsi="Times New Roman" w:cs="Times New Roman"/>
          <w:b/>
          <w:sz w:val="20"/>
          <w:szCs w:val="20"/>
        </w:rPr>
        <w:t xml:space="preserve">. </w:t>
      </w:r>
      <w:r w:rsidR="006E387D">
        <w:rPr>
          <w:rFonts w:ascii="Times New Roman" w:hAnsi="Times New Roman" w:cs="Times New Roman"/>
          <w:b/>
          <w:sz w:val="20"/>
          <w:szCs w:val="20"/>
        </w:rPr>
        <w:t>Frequency domain occupancy indication in GC-PDCCH is used for the</w:t>
      </w:r>
      <w:r w:rsidR="006E387D">
        <w:rPr>
          <w:rFonts w:ascii="Times New Roman" w:eastAsia="MS Mincho" w:hAnsi="Times New Roman" w:cs="Times New Roman" w:hint="eastAsia"/>
          <w:b/>
          <w:sz w:val="20"/>
          <w:szCs w:val="20"/>
        </w:rPr>
        <w:t xml:space="preserve"> </w:t>
      </w:r>
      <w:r w:rsidR="006E387D">
        <w:rPr>
          <w:rFonts w:ascii="Times New Roman" w:eastAsia="MS Mincho" w:hAnsi="Times New Roman" w:cs="Times New Roman"/>
          <w:b/>
          <w:sz w:val="20"/>
          <w:szCs w:val="20"/>
        </w:rPr>
        <w:t xml:space="preserve">dynamic </w:t>
      </w:r>
      <w:r w:rsidR="006E387D">
        <w:rPr>
          <w:rFonts w:ascii="Times New Roman" w:hAnsi="Times New Roman" w:cs="Times New Roman"/>
          <w:b/>
          <w:sz w:val="20"/>
          <w:szCs w:val="20"/>
        </w:rPr>
        <w:t>indication of the existence of in</w:t>
      </w:r>
      <w:r w:rsidR="00301661">
        <w:rPr>
          <w:rFonts w:ascii="Times New Roman" w:hAnsi="Times New Roman" w:cs="Times New Roman"/>
          <w:b/>
          <w:sz w:val="20"/>
          <w:szCs w:val="20"/>
        </w:rPr>
        <w:t>tra</w:t>
      </w:r>
      <w:r w:rsidR="006E387D">
        <w:rPr>
          <w:rFonts w:ascii="Times New Roman" w:hAnsi="Times New Roman" w:cs="Times New Roman"/>
          <w:b/>
          <w:sz w:val="20"/>
          <w:szCs w:val="20"/>
        </w:rPr>
        <w:t>-carrier guard band.</w:t>
      </w:r>
    </w:p>
    <w:p w14:paraId="5A7BF6A7" w14:textId="77777777" w:rsidR="00834D48" w:rsidRDefault="00834D48" w:rsidP="004B155E">
      <w:pPr>
        <w:pStyle w:val="Proposal"/>
        <w:numPr>
          <w:ilvl w:val="0"/>
          <w:numId w:val="0"/>
        </w:numPr>
        <w:rPr>
          <w:rFonts w:ascii="Times New Roman" w:hAnsi="Times New Roman" w:cs="Times New Roman"/>
          <w:b w:val="0"/>
          <w:bCs w:val="0"/>
          <w:sz w:val="20"/>
          <w:szCs w:val="20"/>
          <w:lang w:eastAsia="en-US"/>
        </w:rPr>
      </w:pPr>
    </w:p>
    <w:p w14:paraId="1B19B9EB" w14:textId="125CC88E" w:rsidR="001A471B" w:rsidRDefault="001A471B" w:rsidP="001A471B">
      <w:pPr>
        <w:pStyle w:val="Heading1"/>
        <w:rPr>
          <w:lang w:val="en-US"/>
        </w:rPr>
      </w:pPr>
      <w:r>
        <w:rPr>
          <w:lang w:val="en-US"/>
        </w:rPr>
        <w:t>Reference</w:t>
      </w:r>
    </w:p>
    <w:p w14:paraId="0C86BAAB" w14:textId="0D488267" w:rsidR="001A471B" w:rsidRDefault="001A471B" w:rsidP="001A471B">
      <w:pPr>
        <w:rPr>
          <w:rFonts w:ascii="Times New Roman" w:hAnsi="Times New Roman" w:cs="Times New Roman"/>
          <w:sz w:val="20"/>
          <w:szCs w:val="20"/>
        </w:rPr>
      </w:pPr>
      <w:r w:rsidRPr="001A471B">
        <w:rPr>
          <w:rFonts w:ascii="Times New Roman" w:hAnsi="Times New Roman" w:cs="Times New Roman"/>
          <w:sz w:val="20"/>
          <w:szCs w:val="20"/>
        </w:rPr>
        <w:t>[1]</w:t>
      </w:r>
      <w:r w:rsidR="00D51F0B">
        <w:rPr>
          <w:rFonts w:ascii="Times New Roman" w:hAnsi="Times New Roman" w:cs="Times New Roman"/>
          <w:sz w:val="20"/>
          <w:szCs w:val="20"/>
        </w:rPr>
        <w:t xml:space="preserve"> R1-1908423, DL signals and channels for NR-U, Panasonic, RAN1#98</w:t>
      </w:r>
    </w:p>
    <w:p w14:paraId="190592B7" w14:textId="25950397" w:rsidR="006008AA" w:rsidRPr="00855931" w:rsidRDefault="001A471B" w:rsidP="006008AA">
      <w:pPr>
        <w:rPr>
          <w:rFonts w:ascii="Times New Roman" w:hAnsi="Times New Roman" w:cs="Times New Roman"/>
          <w:sz w:val="20"/>
          <w:szCs w:val="20"/>
          <w:lang w:eastAsia="en-US"/>
        </w:rPr>
      </w:pPr>
      <w:r>
        <w:rPr>
          <w:rFonts w:ascii="Times New Roman" w:hAnsi="Times New Roman" w:cs="Times New Roman"/>
          <w:sz w:val="20"/>
          <w:szCs w:val="20"/>
        </w:rPr>
        <w:t>[2]</w:t>
      </w:r>
      <w:r w:rsidR="00D51F0B">
        <w:rPr>
          <w:rFonts w:ascii="Times New Roman" w:hAnsi="Times New Roman" w:cs="Times New Roman"/>
          <w:sz w:val="20"/>
          <w:szCs w:val="20"/>
        </w:rPr>
        <w:t xml:space="preserve"> </w:t>
      </w:r>
      <w:r w:rsidR="007A0B13">
        <w:rPr>
          <w:rFonts w:ascii="Times New Roman" w:hAnsi="Times New Roman" w:cs="Times New Roman"/>
          <w:sz w:val="20"/>
          <w:szCs w:val="20"/>
        </w:rPr>
        <w:t xml:space="preserve">R1-1905930 </w:t>
      </w:r>
      <w:r w:rsidR="003A3466">
        <w:rPr>
          <w:rFonts w:ascii="Times New Roman" w:hAnsi="Times New Roman" w:cs="Times New Roman"/>
          <w:sz w:val="20"/>
          <w:szCs w:val="20"/>
        </w:rPr>
        <w:t>(</w:t>
      </w:r>
      <w:r w:rsidR="00D51F0B">
        <w:rPr>
          <w:rFonts w:ascii="Times New Roman" w:hAnsi="Times New Roman" w:cs="Times New Roman"/>
          <w:sz w:val="20"/>
          <w:szCs w:val="20"/>
        </w:rPr>
        <w:t>R4-1905209</w:t>
      </w:r>
      <w:r w:rsidR="003A3466">
        <w:rPr>
          <w:rFonts w:ascii="Times New Roman" w:hAnsi="Times New Roman" w:cs="Times New Roman"/>
          <w:sz w:val="20"/>
          <w:szCs w:val="20"/>
        </w:rPr>
        <w:t>)</w:t>
      </w:r>
      <w:r w:rsidR="00D51F0B">
        <w:rPr>
          <w:rFonts w:ascii="Times New Roman" w:hAnsi="Times New Roman" w:cs="Times New Roman"/>
          <w:sz w:val="20"/>
          <w:szCs w:val="20"/>
        </w:rPr>
        <w:t xml:space="preserve">, </w:t>
      </w:r>
      <w:r w:rsidR="00D51F0B" w:rsidRPr="00D51F0B">
        <w:rPr>
          <w:rFonts w:ascii="Times New Roman" w:hAnsi="Times New Roman" w:cs="Times New Roman"/>
          <w:sz w:val="20"/>
          <w:szCs w:val="20"/>
        </w:rPr>
        <w:t>LS reply on wideband carrier operation for NR-U</w:t>
      </w:r>
      <w:r w:rsidR="00D51F0B">
        <w:rPr>
          <w:rFonts w:ascii="Times New Roman" w:hAnsi="Times New Roman" w:cs="Times New Roman"/>
          <w:sz w:val="20"/>
          <w:szCs w:val="20"/>
        </w:rPr>
        <w:t>, RAN4#90bis</w:t>
      </w:r>
    </w:p>
    <w:sectPr w:rsidR="006008AA" w:rsidRPr="00855931">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9CACFB" w16cid:durableId="216D9FA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DC92C" w14:textId="77777777" w:rsidR="00D81F3D" w:rsidRDefault="00D81F3D">
      <w:r>
        <w:separator/>
      </w:r>
    </w:p>
  </w:endnote>
  <w:endnote w:type="continuationSeparator" w:id="0">
    <w:p w14:paraId="46DF8135" w14:textId="77777777" w:rsidR="00D81F3D" w:rsidRDefault="00D81F3D">
      <w:r>
        <w:continuationSeparator/>
      </w:r>
    </w:p>
  </w:endnote>
  <w:endnote w:type="continuationNotice" w:id="1">
    <w:p w14:paraId="6FB2C44B" w14:textId="77777777" w:rsidR="00D81F3D" w:rsidRDefault="00D81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81A10CF"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11A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11A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A490B" w14:textId="77777777" w:rsidR="00D81F3D" w:rsidRDefault="00D81F3D">
      <w:r>
        <w:separator/>
      </w:r>
    </w:p>
  </w:footnote>
  <w:footnote w:type="continuationSeparator" w:id="0">
    <w:p w14:paraId="48BC9483" w14:textId="77777777" w:rsidR="00D81F3D" w:rsidRDefault="00D81F3D">
      <w:r>
        <w:continuationSeparator/>
      </w:r>
    </w:p>
  </w:footnote>
  <w:footnote w:type="continuationNotice" w:id="1">
    <w:p w14:paraId="0A690629" w14:textId="77777777" w:rsidR="00D81F3D" w:rsidRDefault="00D81F3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3FF29EC2" w:rsidR="00427C68" w:rsidRDefault="00427C68">
    <w:r>
      <w:t xml:space="preserve">Page </w:t>
    </w:r>
    <w:r>
      <w:fldChar w:fldCharType="begin"/>
    </w:r>
    <w:r>
      <w:instrText>PAGE</w:instrText>
    </w:r>
    <w:r>
      <w:fldChar w:fldCharType="separate"/>
    </w:r>
    <w:r w:rsidR="0004190E">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4"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9"/>
  </w:num>
  <w:num w:numId="4">
    <w:abstractNumId w:val="10"/>
  </w:num>
  <w:num w:numId="5">
    <w:abstractNumId w:val="6"/>
  </w:num>
  <w:num w:numId="6">
    <w:abstractNumId w:val="13"/>
  </w:num>
  <w:num w:numId="7">
    <w:abstractNumId w:val="18"/>
  </w:num>
  <w:num w:numId="8">
    <w:abstractNumId w:val="7"/>
  </w:num>
  <w:num w:numId="9">
    <w:abstractNumId w:val="16"/>
  </w:num>
  <w:num w:numId="10">
    <w:abstractNumId w:val="19"/>
  </w:num>
  <w:num w:numId="11">
    <w:abstractNumId w:val="14"/>
  </w:num>
  <w:num w:numId="12">
    <w:abstractNumId w:val="11"/>
  </w:num>
  <w:num w:numId="13">
    <w:abstractNumId w:val="21"/>
  </w:num>
  <w:num w:numId="14">
    <w:abstractNumId w:val="3"/>
  </w:num>
  <w:num w:numId="15">
    <w:abstractNumId w:val="17"/>
  </w:num>
  <w:num w:numId="16">
    <w:abstractNumId w:val="2"/>
  </w:num>
  <w:num w:numId="17">
    <w:abstractNumId w:val="20"/>
  </w:num>
  <w:num w:numId="18">
    <w:abstractNumId w:val="4"/>
  </w:num>
  <w:num w:numId="19">
    <w:abstractNumId w:val="5"/>
  </w:num>
  <w:num w:numId="20">
    <w:abstractNumId w:val="12"/>
  </w:num>
  <w:num w:numId="21">
    <w:abstractNumId w:val="8"/>
  </w:num>
  <w:num w:numId="22">
    <w:abstractNumId w:val="0"/>
  </w:num>
  <w:num w:numId="23">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C5B"/>
    <w:rsid w:val="00002A37"/>
    <w:rsid w:val="00006446"/>
    <w:rsid w:val="00006896"/>
    <w:rsid w:val="00006B58"/>
    <w:rsid w:val="00007CDC"/>
    <w:rsid w:val="00011153"/>
    <w:rsid w:val="00011729"/>
    <w:rsid w:val="00011B28"/>
    <w:rsid w:val="0001207F"/>
    <w:rsid w:val="00012D65"/>
    <w:rsid w:val="00014E6A"/>
    <w:rsid w:val="00015D15"/>
    <w:rsid w:val="00016E88"/>
    <w:rsid w:val="000176B2"/>
    <w:rsid w:val="00020538"/>
    <w:rsid w:val="00022308"/>
    <w:rsid w:val="0002564D"/>
    <w:rsid w:val="00025ECA"/>
    <w:rsid w:val="00026008"/>
    <w:rsid w:val="0002609C"/>
    <w:rsid w:val="00027939"/>
    <w:rsid w:val="000302D0"/>
    <w:rsid w:val="00030DCD"/>
    <w:rsid w:val="000325B8"/>
    <w:rsid w:val="00033F83"/>
    <w:rsid w:val="000344F1"/>
    <w:rsid w:val="00034AE9"/>
    <w:rsid w:val="00034C15"/>
    <w:rsid w:val="000364F5"/>
    <w:rsid w:val="00036BA1"/>
    <w:rsid w:val="000377F2"/>
    <w:rsid w:val="00040D7D"/>
    <w:rsid w:val="0004190E"/>
    <w:rsid w:val="00042049"/>
    <w:rsid w:val="000422E2"/>
    <w:rsid w:val="00042F22"/>
    <w:rsid w:val="000444EF"/>
    <w:rsid w:val="00044652"/>
    <w:rsid w:val="000455B9"/>
    <w:rsid w:val="00050B9F"/>
    <w:rsid w:val="00051FE1"/>
    <w:rsid w:val="00052A07"/>
    <w:rsid w:val="000534E3"/>
    <w:rsid w:val="0005606A"/>
    <w:rsid w:val="00056CD1"/>
    <w:rsid w:val="00057117"/>
    <w:rsid w:val="00057276"/>
    <w:rsid w:val="00057E2C"/>
    <w:rsid w:val="00060B7B"/>
    <w:rsid w:val="00060FD1"/>
    <w:rsid w:val="000616E7"/>
    <w:rsid w:val="00063C67"/>
    <w:rsid w:val="0006487E"/>
    <w:rsid w:val="00065E1A"/>
    <w:rsid w:val="00067548"/>
    <w:rsid w:val="00070695"/>
    <w:rsid w:val="00072D36"/>
    <w:rsid w:val="00075168"/>
    <w:rsid w:val="00077E5F"/>
    <w:rsid w:val="0008036A"/>
    <w:rsid w:val="00081AE6"/>
    <w:rsid w:val="00082017"/>
    <w:rsid w:val="000821B8"/>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510F"/>
    <w:rsid w:val="00096079"/>
    <w:rsid w:val="000A01BF"/>
    <w:rsid w:val="000A0795"/>
    <w:rsid w:val="000A19D5"/>
    <w:rsid w:val="000A1B7B"/>
    <w:rsid w:val="000A2E8D"/>
    <w:rsid w:val="000A56F2"/>
    <w:rsid w:val="000A7958"/>
    <w:rsid w:val="000B2719"/>
    <w:rsid w:val="000B2793"/>
    <w:rsid w:val="000B2AD4"/>
    <w:rsid w:val="000B2BCD"/>
    <w:rsid w:val="000B3A8F"/>
    <w:rsid w:val="000B3BB4"/>
    <w:rsid w:val="000B4AB9"/>
    <w:rsid w:val="000B4CF7"/>
    <w:rsid w:val="000B58C3"/>
    <w:rsid w:val="000B61E9"/>
    <w:rsid w:val="000B7068"/>
    <w:rsid w:val="000B751E"/>
    <w:rsid w:val="000B7CF7"/>
    <w:rsid w:val="000C0051"/>
    <w:rsid w:val="000C0B03"/>
    <w:rsid w:val="000C0F46"/>
    <w:rsid w:val="000C165A"/>
    <w:rsid w:val="000C1A51"/>
    <w:rsid w:val="000C2E19"/>
    <w:rsid w:val="000C302A"/>
    <w:rsid w:val="000C3084"/>
    <w:rsid w:val="000C3BB5"/>
    <w:rsid w:val="000C65B7"/>
    <w:rsid w:val="000D0D07"/>
    <w:rsid w:val="000D1C00"/>
    <w:rsid w:val="000D1ECE"/>
    <w:rsid w:val="000D2ACE"/>
    <w:rsid w:val="000D4797"/>
    <w:rsid w:val="000D4C5E"/>
    <w:rsid w:val="000D567C"/>
    <w:rsid w:val="000E0527"/>
    <w:rsid w:val="000E12B6"/>
    <w:rsid w:val="000E1E92"/>
    <w:rsid w:val="000E58DF"/>
    <w:rsid w:val="000E5D8D"/>
    <w:rsid w:val="000E6447"/>
    <w:rsid w:val="000E7C6F"/>
    <w:rsid w:val="000E7F1B"/>
    <w:rsid w:val="000F06D6"/>
    <w:rsid w:val="000F0EB1"/>
    <w:rsid w:val="000F1106"/>
    <w:rsid w:val="000F153F"/>
    <w:rsid w:val="000F2040"/>
    <w:rsid w:val="000F3343"/>
    <w:rsid w:val="000F3AF3"/>
    <w:rsid w:val="000F3BE9"/>
    <w:rsid w:val="000F3F6C"/>
    <w:rsid w:val="000F5C00"/>
    <w:rsid w:val="000F6DF3"/>
    <w:rsid w:val="001005FF"/>
    <w:rsid w:val="001062FB"/>
    <w:rsid w:val="001063E6"/>
    <w:rsid w:val="00107197"/>
    <w:rsid w:val="001111A0"/>
    <w:rsid w:val="00112BC6"/>
    <w:rsid w:val="00113CF4"/>
    <w:rsid w:val="001153EA"/>
    <w:rsid w:val="00115643"/>
    <w:rsid w:val="00116765"/>
    <w:rsid w:val="00117B7E"/>
    <w:rsid w:val="00120616"/>
    <w:rsid w:val="0012078D"/>
    <w:rsid w:val="0012080F"/>
    <w:rsid w:val="001219F5"/>
    <w:rsid w:val="00121A20"/>
    <w:rsid w:val="00122F2E"/>
    <w:rsid w:val="00123610"/>
    <w:rsid w:val="0012377F"/>
    <w:rsid w:val="00124314"/>
    <w:rsid w:val="001254E8"/>
    <w:rsid w:val="00126294"/>
    <w:rsid w:val="00126B4A"/>
    <w:rsid w:val="001272AC"/>
    <w:rsid w:val="00127B88"/>
    <w:rsid w:val="00127BD3"/>
    <w:rsid w:val="00127E49"/>
    <w:rsid w:val="00131DAF"/>
    <w:rsid w:val="00131EC3"/>
    <w:rsid w:val="00132FD0"/>
    <w:rsid w:val="00133CEB"/>
    <w:rsid w:val="001344C0"/>
    <w:rsid w:val="001346FA"/>
    <w:rsid w:val="00135252"/>
    <w:rsid w:val="00135588"/>
    <w:rsid w:val="001356BF"/>
    <w:rsid w:val="00137194"/>
    <w:rsid w:val="00137AB5"/>
    <w:rsid w:val="00137ED0"/>
    <w:rsid w:val="00137F0B"/>
    <w:rsid w:val="001406B8"/>
    <w:rsid w:val="00141624"/>
    <w:rsid w:val="001416F8"/>
    <w:rsid w:val="00141A7D"/>
    <w:rsid w:val="00144A2C"/>
    <w:rsid w:val="00145D40"/>
    <w:rsid w:val="00146270"/>
    <w:rsid w:val="00146AD8"/>
    <w:rsid w:val="00151723"/>
    <w:rsid w:val="00151E23"/>
    <w:rsid w:val="0015235C"/>
    <w:rsid w:val="001526E0"/>
    <w:rsid w:val="00152DF6"/>
    <w:rsid w:val="001550E1"/>
    <w:rsid w:val="001551B5"/>
    <w:rsid w:val="0015525E"/>
    <w:rsid w:val="0015531C"/>
    <w:rsid w:val="00155652"/>
    <w:rsid w:val="00155888"/>
    <w:rsid w:val="001608F0"/>
    <w:rsid w:val="00160DD8"/>
    <w:rsid w:val="001632FD"/>
    <w:rsid w:val="001643A8"/>
    <w:rsid w:val="0016465B"/>
    <w:rsid w:val="0016522A"/>
    <w:rsid w:val="001659C1"/>
    <w:rsid w:val="00165A59"/>
    <w:rsid w:val="0016607D"/>
    <w:rsid w:val="00167512"/>
    <w:rsid w:val="001707FD"/>
    <w:rsid w:val="00171A1F"/>
    <w:rsid w:val="00171D4D"/>
    <w:rsid w:val="00171D60"/>
    <w:rsid w:val="00173A8E"/>
    <w:rsid w:val="0017489D"/>
    <w:rsid w:val="00175CD8"/>
    <w:rsid w:val="0017649E"/>
    <w:rsid w:val="00177795"/>
    <w:rsid w:val="00180D4C"/>
    <w:rsid w:val="0018143F"/>
    <w:rsid w:val="00181887"/>
    <w:rsid w:val="00184585"/>
    <w:rsid w:val="00190AC1"/>
    <w:rsid w:val="001928DE"/>
    <w:rsid w:val="00192C10"/>
    <w:rsid w:val="0019341A"/>
    <w:rsid w:val="00194C7A"/>
    <w:rsid w:val="00195520"/>
    <w:rsid w:val="0019607E"/>
    <w:rsid w:val="001963B6"/>
    <w:rsid w:val="00197BC4"/>
    <w:rsid w:val="00197DF9"/>
    <w:rsid w:val="001A1987"/>
    <w:rsid w:val="001A2564"/>
    <w:rsid w:val="001A2C49"/>
    <w:rsid w:val="001A3C04"/>
    <w:rsid w:val="001A45EE"/>
    <w:rsid w:val="001A471B"/>
    <w:rsid w:val="001A4EC0"/>
    <w:rsid w:val="001A5E6F"/>
    <w:rsid w:val="001A6173"/>
    <w:rsid w:val="001A6CBA"/>
    <w:rsid w:val="001B0D97"/>
    <w:rsid w:val="001B1B9B"/>
    <w:rsid w:val="001B2E53"/>
    <w:rsid w:val="001B3012"/>
    <w:rsid w:val="001B5A5D"/>
    <w:rsid w:val="001B6053"/>
    <w:rsid w:val="001B6CE0"/>
    <w:rsid w:val="001B7DF3"/>
    <w:rsid w:val="001C1CE5"/>
    <w:rsid w:val="001C3D2A"/>
    <w:rsid w:val="001C3D73"/>
    <w:rsid w:val="001C4A35"/>
    <w:rsid w:val="001C5950"/>
    <w:rsid w:val="001C6495"/>
    <w:rsid w:val="001C67E3"/>
    <w:rsid w:val="001C7060"/>
    <w:rsid w:val="001D02D8"/>
    <w:rsid w:val="001D05CD"/>
    <w:rsid w:val="001D15FC"/>
    <w:rsid w:val="001D2185"/>
    <w:rsid w:val="001D280D"/>
    <w:rsid w:val="001D2FFD"/>
    <w:rsid w:val="001D3AD3"/>
    <w:rsid w:val="001D40A9"/>
    <w:rsid w:val="001D4132"/>
    <w:rsid w:val="001D4ABC"/>
    <w:rsid w:val="001D51BA"/>
    <w:rsid w:val="001D6342"/>
    <w:rsid w:val="001D6D53"/>
    <w:rsid w:val="001E1D1D"/>
    <w:rsid w:val="001E344E"/>
    <w:rsid w:val="001E58E2"/>
    <w:rsid w:val="001E7AED"/>
    <w:rsid w:val="001F15FB"/>
    <w:rsid w:val="001F3916"/>
    <w:rsid w:val="001F4AB0"/>
    <w:rsid w:val="001F54C5"/>
    <w:rsid w:val="001F662C"/>
    <w:rsid w:val="001F7074"/>
    <w:rsid w:val="001F718F"/>
    <w:rsid w:val="00200490"/>
    <w:rsid w:val="00200F45"/>
    <w:rsid w:val="00201F3A"/>
    <w:rsid w:val="00203F96"/>
    <w:rsid w:val="0020419A"/>
    <w:rsid w:val="00204846"/>
    <w:rsid w:val="0020528E"/>
    <w:rsid w:val="0020661F"/>
    <w:rsid w:val="002069B2"/>
    <w:rsid w:val="00206C08"/>
    <w:rsid w:val="00207501"/>
    <w:rsid w:val="00207F96"/>
    <w:rsid w:val="00207FA3"/>
    <w:rsid w:val="00214DA8"/>
    <w:rsid w:val="0021518A"/>
    <w:rsid w:val="00215423"/>
    <w:rsid w:val="002158FA"/>
    <w:rsid w:val="00216564"/>
    <w:rsid w:val="00216EB1"/>
    <w:rsid w:val="002202E1"/>
    <w:rsid w:val="00220600"/>
    <w:rsid w:val="0022168B"/>
    <w:rsid w:val="00221997"/>
    <w:rsid w:val="002224DB"/>
    <w:rsid w:val="00222DEF"/>
    <w:rsid w:val="00223CB2"/>
    <w:rsid w:val="00223FCB"/>
    <w:rsid w:val="002252C3"/>
    <w:rsid w:val="00225C54"/>
    <w:rsid w:val="00225E7C"/>
    <w:rsid w:val="002261EF"/>
    <w:rsid w:val="0023019F"/>
    <w:rsid w:val="00230568"/>
    <w:rsid w:val="00230765"/>
    <w:rsid w:val="002319E4"/>
    <w:rsid w:val="00231EE8"/>
    <w:rsid w:val="00233AFC"/>
    <w:rsid w:val="00235562"/>
    <w:rsid w:val="00235632"/>
    <w:rsid w:val="00235872"/>
    <w:rsid w:val="00236938"/>
    <w:rsid w:val="00241559"/>
    <w:rsid w:val="00241B98"/>
    <w:rsid w:val="00242973"/>
    <w:rsid w:val="00242A0A"/>
    <w:rsid w:val="0024310C"/>
    <w:rsid w:val="002435B3"/>
    <w:rsid w:val="00244DBD"/>
    <w:rsid w:val="0024547B"/>
    <w:rsid w:val="002454D4"/>
    <w:rsid w:val="002458EB"/>
    <w:rsid w:val="002500C8"/>
    <w:rsid w:val="00250F16"/>
    <w:rsid w:val="0025167F"/>
    <w:rsid w:val="0025421E"/>
    <w:rsid w:val="00254378"/>
    <w:rsid w:val="002558D7"/>
    <w:rsid w:val="002573E8"/>
    <w:rsid w:val="00257543"/>
    <w:rsid w:val="00257F88"/>
    <w:rsid w:val="00261285"/>
    <w:rsid w:val="002617E7"/>
    <w:rsid w:val="00261FC8"/>
    <w:rsid w:val="00264109"/>
    <w:rsid w:val="00264228"/>
    <w:rsid w:val="00264334"/>
    <w:rsid w:val="0026473E"/>
    <w:rsid w:val="00266214"/>
    <w:rsid w:val="0026743E"/>
    <w:rsid w:val="00267C58"/>
    <w:rsid w:val="00267C83"/>
    <w:rsid w:val="00270D24"/>
    <w:rsid w:val="00271046"/>
    <w:rsid w:val="0027144F"/>
    <w:rsid w:val="00271F3A"/>
    <w:rsid w:val="0027208A"/>
    <w:rsid w:val="00272796"/>
    <w:rsid w:val="00273278"/>
    <w:rsid w:val="002737F4"/>
    <w:rsid w:val="0027455E"/>
    <w:rsid w:val="00275CAD"/>
    <w:rsid w:val="00277453"/>
    <w:rsid w:val="002803F3"/>
    <w:rsid w:val="002805F5"/>
    <w:rsid w:val="00280751"/>
    <w:rsid w:val="0028280A"/>
    <w:rsid w:val="00286ACD"/>
    <w:rsid w:val="00287838"/>
    <w:rsid w:val="00287895"/>
    <w:rsid w:val="002907B5"/>
    <w:rsid w:val="00292E71"/>
    <w:rsid w:val="00292EB7"/>
    <w:rsid w:val="00293B29"/>
    <w:rsid w:val="00293F02"/>
    <w:rsid w:val="00296227"/>
    <w:rsid w:val="00296F44"/>
    <w:rsid w:val="0029774E"/>
    <w:rsid w:val="0029777D"/>
    <w:rsid w:val="002A036D"/>
    <w:rsid w:val="002A055E"/>
    <w:rsid w:val="002A1D4E"/>
    <w:rsid w:val="002A2117"/>
    <w:rsid w:val="002A2869"/>
    <w:rsid w:val="002A2B08"/>
    <w:rsid w:val="002A45C6"/>
    <w:rsid w:val="002A50D7"/>
    <w:rsid w:val="002A5160"/>
    <w:rsid w:val="002A75FE"/>
    <w:rsid w:val="002B06F0"/>
    <w:rsid w:val="002B0B1F"/>
    <w:rsid w:val="002B0F92"/>
    <w:rsid w:val="002B24D6"/>
    <w:rsid w:val="002B2CC5"/>
    <w:rsid w:val="002B467E"/>
    <w:rsid w:val="002B47B7"/>
    <w:rsid w:val="002B7F65"/>
    <w:rsid w:val="002C0D0C"/>
    <w:rsid w:val="002C244C"/>
    <w:rsid w:val="002C31CA"/>
    <w:rsid w:val="002C3201"/>
    <w:rsid w:val="002C32A1"/>
    <w:rsid w:val="002C39FD"/>
    <w:rsid w:val="002C40EF"/>
    <w:rsid w:val="002C4130"/>
    <w:rsid w:val="002C41E6"/>
    <w:rsid w:val="002D00AE"/>
    <w:rsid w:val="002D022A"/>
    <w:rsid w:val="002D071A"/>
    <w:rsid w:val="002D34B2"/>
    <w:rsid w:val="002D362A"/>
    <w:rsid w:val="002D4ADC"/>
    <w:rsid w:val="002D5402"/>
    <w:rsid w:val="002D5976"/>
    <w:rsid w:val="002D69C1"/>
    <w:rsid w:val="002D7637"/>
    <w:rsid w:val="002E1404"/>
    <w:rsid w:val="002E14D6"/>
    <w:rsid w:val="002E17F2"/>
    <w:rsid w:val="002E3CAE"/>
    <w:rsid w:val="002E3DED"/>
    <w:rsid w:val="002E53A4"/>
    <w:rsid w:val="002E64DB"/>
    <w:rsid w:val="002E7CAE"/>
    <w:rsid w:val="002F246A"/>
    <w:rsid w:val="002F2771"/>
    <w:rsid w:val="002F3420"/>
    <w:rsid w:val="002F37A9"/>
    <w:rsid w:val="002F3DF2"/>
    <w:rsid w:val="002F421A"/>
    <w:rsid w:val="002F4796"/>
    <w:rsid w:val="00300010"/>
    <w:rsid w:val="00301661"/>
    <w:rsid w:val="00301CE6"/>
    <w:rsid w:val="0030256B"/>
    <w:rsid w:val="00303FC5"/>
    <w:rsid w:val="0030501F"/>
    <w:rsid w:val="00305A9E"/>
    <w:rsid w:val="00305D11"/>
    <w:rsid w:val="003060DE"/>
    <w:rsid w:val="00307047"/>
    <w:rsid w:val="00307BA1"/>
    <w:rsid w:val="00310933"/>
    <w:rsid w:val="00310BFB"/>
    <w:rsid w:val="00311702"/>
    <w:rsid w:val="00311E82"/>
    <w:rsid w:val="00313FD6"/>
    <w:rsid w:val="003143BD"/>
    <w:rsid w:val="003177E4"/>
    <w:rsid w:val="00317B01"/>
    <w:rsid w:val="003203ED"/>
    <w:rsid w:val="003207D7"/>
    <w:rsid w:val="00322C9F"/>
    <w:rsid w:val="00322CD7"/>
    <w:rsid w:val="003248B5"/>
    <w:rsid w:val="00324D23"/>
    <w:rsid w:val="003261A9"/>
    <w:rsid w:val="00327044"/>
    <w:rsid w:val="00331751"/>
    <w:rsid w:val="00334579"/>
    <w:rsid w:val="00334708"/>
    <w:rsid w:val="00335858"/>
    <w:rsid w:val="00335A88"/>
    <w:rsid w:val="0033621A"/>
    <w:rsid w:val="00336BDA"/>
    <w:rsid w:val="0034033C"/>
    <w:rsid w:val="003408A5"/>
    <w:rsid w:val="00341BF2"/>
    <w:rsid w:val="00342BD7"/>
    <w:rsid w:val="00342D3F"/>
    <w:rsid w:val="00343A07"/>
    <w:rsid w:val="0034436D"/>
    <w:rsid w:val="00344407"/>
    <w:rsid w:val="0034453E"/>
    <w:rsid w:val="00344919"/>
    <w:rsid w:val="00344941"/>
    <w:rsid w:val="003453C2"/>
    <w:rsid w:val="003455D2"/>
    <w:rsid w:val="00345862"/>
    <w:rsid w:val="00346DB5"/>
    <w:rsid w:val="003477B1"/>
    <w:rsid w:val="003508BF"/>
    <w:rsid w:val="00351A57"/>
    <w:rsid w:val="003526DA"/>
    <w:rsid w:val="0035482C"/>
    <w:rsid w:val="00354A8F"/>
    <w:rsid w:val="00355135"/>
    <w:rsid w:val="0035709A"/>
    <w:rsid w:val="00357380"/>
    <w:rsid w:val="003602D9"/>
    <w:rsid w:val="003604CE"/>
    <w:rsid w:val="003611A3"/>
    <w:rsid w:val="00361478"/>
    <w:rsid w:val="0036161E"/>
    <w:rsid w:val="00362DE3"/>
    <w:rsid w:val="00365A6D"/>
    <w:rsid w:val="00366717"/>
    <w:rsid w:val="00366D3B"/>
    <w:rsid w:val="003670B6"/>
    <w:rsid w:val="00367C6C"/>
    <w:rsid w:val="00370878"/>
    <w:rsid w:val="00370E47"/>
    <w:rsid w:val="003714E8"/>
    <w:rsid w:val="003735E5"/>
    <w:rsid w:val="003742AC"/>
    <w:rsid w:val="00374C70"/>
    <w:rsid w:val="00375204"/>
    <w:rsid w:val="00375B36"/>
    <w:rsid w:val="003768C5"/>
    <w:rsid w:val="00377339"/>
    <w:rsid w:val="00377CE1"/>
    <w:rsid w:val="00385BF0"/>
    <w:rsid w:val="0038629C"/>
    <w:rsid w:val="003874B1"/>
    <w:rsid w:val="00387618"/>
    <w:rsid w:val="00387BA7"/>
    <w:rsid w:val="00390264"/>
    <w:rsid w:val="00390834"/>
    <w:rsid w:val="00392A4B"/>
    <w:rsid w:val="003939FF"/>
    <w:rsid w:val="00396A2D"/>
    <w:rsid w:val="00397681"/>
    <w:rsid w:val="003A127C"/>
    <w:rsid w:val="003A2223"/>
    <w:rsid w:val="003A23C7"/>
    <w:rsid w:val="003A254F"/>
    <w:rsid w:val="003A2A0F"/>
    <w:rsid w:val="003A2F94"/>
    <w:rsid w:val="003A3466"/>
    <w:rsid w:val="003A369D"/>
    <w:rsid w:val="003A45A1"/>
    <w:rsid w:val="003A5B0A"/>
    <w:rsid w:val="003A6BAC"/>
    <w:rsid w:val="003A7EF3"/>
    <w:rsid w:val="003B0971"/>
    <w:rsid w:val="003B159C"/>
    <w:rsid w:val="003B2930"/>
    <w:rsid w:val="003B2D90"/>
    <w:rsid w:val="003B369F"/>
    <w:rsid w:val="003B36A3"/>
    <w:rsid w:val="003B4D22"/>
    <w:rsid w:val="003B4F17"/>
    <w:rsid w:val="003B608D"/>
    <w:rsid w:val="003B72A4"/>
    <w:rsid w:val="003B7851"/>
    <w:rsid w:val="003B7FE5"/>
    <w:rsid w:val="003C0766"/>
    <w:rsid w:val="003C10D1"/>
    <w:rsid w:val="003C11C8"/>
    <w:rsid w:val="003C1869"/>
    <w:rsid w:val="003C2702"/>
    <w:rsid w:val="003C2F3A"/>
    <w:rsid w:val="003C3798"/>
    <w:rsid w:val="003C383A"/>
    <w:rsid w:val="003C4788"/>
    <w:rsid w:val="003C7806"/>
    <w:rsid w:val="003C7D8D"/>
    <w:rsid w:val="003D03A4"/>
    <w:rsid w:val="003D109F"/>
    <w:rsid w:val="003D1E65"/>
    <w:rsid w:val="003D2478"/>
    <w:rsid w:val="003D2D9C"/>
    <w:rsid w:val="003D2FC4"/>
    <w:rsid w:val="003D30B5"/>
    <w:rsid w:val="003D387A"/>
    <w:rsid w:val="003D3C45"/>
    <w:rsid w:val="003D4532"/>
    <w:rsid w:val="003D53B4"/>
    <w:rsid w:val="003D5B1F"/>
    <w:rsid w:val="003D5C6F"/>
    <w:rsid w:val="003D5E2C"/>
    <w:rsid w:val="003E0468"/>
    <w:rsid w:val="003E0F12"/>
    <w:rsid w:val="003E10E7"/>
    <w:rsid w:val="003E15FA"/>
    <w:rsid w:val="003E21B4"/>
    <w:rsid w:val="003E3CA5"/>
    <w:rsid w:val="003E45F5"/>
    <w:rsid w:val="003E4EAD"/>
    <w:rsid w:val="003E4EC4"/>
    <w:rsid w:val="003E526E"/>
    <w:rsid w:val="003E55E4"/>
    <w:rsid w:val="003E5613"/>
    <w:rsid w:val="003E6588"/>
    <w:rsid w:val="003E74E3"/>
    <w:rsid w:val="003E75BA"/>
    <w:rsid w:val="003F05C7"/>
    <w:rsid w:val="003F197C"/>
    <w:rsid w:val="003F1D11"/>
    <w:rsid w:val="003F1D35"/>
    <w:rsid w:val="003F2CD4"/>
    <w:rsid w:val="003F3088"/>
    <w:rsid w:val="003F38B8"/>
    <w:rsid w:val="003F472B"/>
    <w:rsid w:val="003F6BBE"/>
    <w:rsid w:val="003F75E8"/>
    <w:rsid w:val="004000E8"/>
    <w:rsid w:val="00400EA0"/>
    <w:rsid w:val="004014F3"/>
    <w:rsid w:val="00402DD0"/>
    <w:rsid w:val="00402E2B"/>
    <w:rsid w:val="00403E95"/>
    <w:rsid w:val="0040512B"/>
    <w:rsid w:val="00405B22"/>
    <w:rsid w:val="00405CA5"/>
    <w:rsid w:val="0040709E"/>
    <w:rsid w:val="0040715C"/>
    <w:rsid w:val="00407CD3"/>
    <w:rsid w:val="00410134"/>
    <w:rsid w:val="00410B72"/>
    <w:rsid w:val="00410F18"/>
    <w:rsid w:val="0041263E"/>
    <w:rsid w:val="00413AAC"/>
    <w:rsid w:val="00413EFB"/>
    <w:rsid w:val="00415A4C"/>
    <w:rsid w:val="00415D3C"/>
    <w:rsid w:val="00416B1B"/>
    <w:rsid w:val="00417BAF"/>
    <w:rsid w:val="00417EB0"/>
    <w:rsid w:val="00420DC3"/>
    <w:rsid w:val="00421105"/>
    <w:rsid w:val="00421755"/>
    <w:rsid w:val="004234D8"/>
    <w:rsid w:val="00423C9D"/>
    <w:rsid w:val="004242F4"/>
    <w:rsid w:val="00427248"/>
    <w:rsid w:val="00427C68"/>
    <w:rsid w:val="0043123D"/>
    <w:rsid w:val="004332BB"/>
    <w:rsid w:val="00433B47"/>
    <w:rsid w:val="0043448A"/>
    <w:rsid w:val="004351A3"/>
    <w:rsid w:val="00435213"/>
    <w:rsid w:val="00435CD3"/>
    <w:rsid w:val="00435ECC"/>
    <w:rsid w:val="00437447"/>
    <w:rsid w:val="004374BA"/>
    <w:rsid w:val="00440548"/>
    <w:rsid w:val="00440B16"/>
    <w:rsid w:val="00441A92"/>
    <w:rsid w:val="00443BE9"/>
    <w:rsid w:val="00444AAD"/>
    <w:rsid w:val="00444C54"/>
    <w:rsid w:val="00444C6F"/>
    <w:rsid w:val="00444F56"/>
    <w:rsid w:val="00445D84"/>
    <w:rsid w:val="004462C8"/>
    <w:rsid w:val="00446488"/>
    <w:rsid w:val="004517AA"/>
    <w:rsid w:val="00451811"/>
    <w:rsid w:val="004521EC"/>
    <w:rsid w:val="00452CAC"/>
    <w:rsid w:val="00452F5B"/>
    <w:rsid w:val="00453200"/>
    <w:rsid w:val="00453851"/>
    <w:rsid w:val="00453875"/>
    <w:rsid w:val="00456EFF"/>
    <w:rsid w:val="00457565"/>
    <w:rsid w:val="00457B71"/>
    <w:rsid w:val="00460DB9"/>
    <w:rsid w:val="00461FDF"/>
    <w:rsid w:val="00462F46"/>
    <w:rsid w:val="0046300D"/>
    <w:rsid w:val="00464200"/>
    <w:rsid w:val="00465F3A"/>
    <w:rsid w:val="004669E2"/>
    <w:rsid w:val="004671E7"/>
    <w:rsid w:val="00470BA8"/>
    <w:rsid w:val="00470C31"/>
    <w:rsid w:val="0047157F"/>
    <w:rsid w:val="00471AA9"/>
    <w:rsid w:val="004726C7"/>
    <w:rsid w:val="004734D0"/>
    <w:rsid w:val="00474804"/>
    <w:rsid w:val="0047556B"/>
    <w:rsid w:val="004759D0"/>
    <w:rsid w:val="00475AC8"/>
    <w:rsid w:val="004769FA"/>
    <w:rsid w:val="00476B40"/>
    <w:rsid w:val="00477768"/>
    <w:rsid w:val="004779C0"/>
    <w:rsid w:val="004835D6"/>
    <w:rsid w:val="004846D1"/>
    <w:rsid w:val="004850E5"/>
    <w:rsid w:val="00485BC6"/>
    <w:rsid w:val="00492BC5"/>
    <w:rsid w:val="00493F23"/>
    <w:rsid w:val="00494430"/>
    <w:rsid w:val="004961CE"/>
    <w:rsid w:val="004963BF"/>
    <w:rsid w:val="004964F1"/>
    <w:rsid w:val="004970B3"/>
    <w:rsid w:val="004A16BC"/>
    <w:rsid w:val="004A2B94"/>
    <w:rsid w:val="004A7E7F"/>
    <w:rsid w:val="004B10DB"/>
    <w:rsid w:val="004B155E"/>
    <w:rsid w:val="004B2BC9"/>
    <w:rsid w:val="004B2FD1"/>
    <w:rsid w:val="004B3ACB"/>
    <w:rsid w:val="004B563D"/>
    <w:rsid w:val="004B7C0C"/>
    <w:rsid w:val="004C01C8"/>
    <w:rsid w:val="004C2328"/>
    <w:rsid w:val="004C2922"/>
    <w:rsid w:val="004C2D6E"/>
    <w:rsid w:val="004C3898"/>
    <w:rsid w:val="004C5405"/>
    <w:rsid w:val="004C54C2"/>
    <w:rsid w:val="004C6EDD"/>
    <w:rsid w:val="004D18D8"/>
    <w:rsid w:val="004D2237"/>
    <w:rsid w:val="004D36B1"/>
    <w:rsid w:val="004D3B3E"/>
    <w:rsid w:val="004D7EBD"/>
    <w:rsid w:val="004E0BD6"/>
    <w:rsid w:val="004E1A9A"/>
    <w:rsid w:val="004E2680"/>
    <w:rsid w:val="004E2847"/>
    <w:rsid w:val="004E28F9"/>
    <w:rsid w:val="004E2A64"/>
    <w:rsid w:val="004E38F5"/>
    <w:rsid w:val="004E429A"/>
    <w:rsid w:val="004E462E"/>
    <w:rsid w:val="004E4F53"/>
    <w:rsid w:val="004E56DC"/>
    <w:rsid w:val="004E5AC2"/>
    <w:rsid w:val="004E6960"/>
    <w:rsid w:val="004E76F4"/>
    <w:rsid w:val="004E7980"/>
    <w:rsid w:val="004F0B4E"/>
    <w:rsid w:val="004F0B6C"/>
    <w:rsid w:val="004F0F30"/>
    <w:rsid w:val="004F1D42"/>
    <w:rsid w:val="004F2078"/>
    <w:rsid w:val="004F4DA3"/>
    <w:rsid w:val="004F5F05"/>
    <w:rsid w:val="004F7740"/>
    <w:rsid w:val="004F7EA9"/>
    <w:rsid w:val="0050054E"/>
    <w:rsid w:val="00500754"/>
    <w:rsid w:val="00501607"/>
    <w:rsid w:val="00502773"/>
    <w:rsid w:val="0050361D"/>
    <w:rsid w:val="00503A6D"/>
    <w:rsid w:val="0050462F"/>
    <w:rsid w:val="00504651"/>
    <w:rsid w:val="005054B0"/>
    <w:rsid w:val="00506557"/>
    <w:rsid w:val="0050677A"/>
    <w:rsid w:val="00507454"/>
    <w:rsid w:val="005079A0"/>
    <w:rsid w:val="005108D8"/>
    <w:rsid w:val="005111A1"/>
    <w:rsid w:val="005116F9"/>
    <w:rsid w:val="005153A7"/>
    <w:rsid w:val="005154C5"/>
    <w:rsid w:val="00517303"/>
    <w:rsid w:val="005219CF"/>
    <w:rsid w:val="00522D07"/>
    <w:rsid w:val="00525F75"/>
    <w:rsid w:val="005267A6"/>
    <w:rsid w:val="00526C0D"/>
    <w:rsid w:val="00527104"/>
    <w:rsid w:val="005313D4"/>
    <w:rsid w:val="00531534"/>
    <w:rsid w:val="00531CAC"/>
    <w:rsid w:val="00531F1D"/>
    <w:rsid w:val="00532331"/>
    <w:rsid w:val="00532546"/>
    <w:rsid w:val="0053355A"/>
    <w:rsid w:val="005336B9"/>
    <w:rsid w:val="005338D0"/>
    <w:rsid w:val="005343FA"/>
    <w:rsid w:val="00534B59"/>
    <w:rsid w:val="00536759"/>
    <w:rsid w:val="005369A8"/>
    <w:rsid w:val="00536BFB"/>
    <w:rsid w:val="00537C62"/>
    <w:rsid w:val="005422D0"/>
    <w:rsid w:val="00543336"/>
    <w:rsid w:val="00543775"/>
    <w:rsid w:val="00544F20"/>
    <w:rsid w:val="00546970"/>
    <w:rsid w:val="00547A14"/>
    <w:rsid w:val="00547F05"/>
    <w:rsid w:val="00547F49"/>
    <w:rsid w:val="0055001B"/>
    <w:rsid w:val="00553715"/>
    <w:rsid w:val="00554E19"/>
    <w:rsid w:val="00555D73"/>
    <w:rsid w:val="005564FC"/>
    <w:rsid w:val="005579C5"/>
    <w:rsid w:val="00560A37"/>
    <w:rsid w:val="00561182"/>
    <w:rsid w:val="0056121F"/>
    <w:rsid w:val="00561320"/>
    <w:rsid w:val="00562064"/>
    <w:rsid w:val="0056299D"/>
    <w:rsid w:val="00562A1A"/>
    <w:rsid w:val="0056356C"/>
    <w:rsid w:val="005636E8"/>
    <w:rsid w:val="00570B7D"/>
    <w:rsid w:val="00570F8E"/>
    <w:rsid w:val="00572505"/>
    <w:rsid w:val="00572CE8"/>
    <w:rsid w:val="00580202"/>
    <w:rsid w:val="00582746"/>
    <w:rsid w:val="00582809"/>
    <w:rsid w:val="00582A4A"/>
    <w:rsid w:val="00584ABE"/>
    <w:rsid w:val="0058563E"/>
    <w:rsid w:val="005874C6"/>
    <w:rsid w:val="0058798C"/>
    <w:rsid w:val="00587BD2"/>
    <w:rsid w:val="005900FA"/>
    <w:rsid w:val="005923F4"/>
    <w:rsid w:val="005935A4"/>
    <w:rsid w:val="005948C2"/>
    <w:rsid w:val="00595DCA"/>
    <w:rsid w:val="0059779B"/>
    <w:rsid w:val="005A0D5F"/>
    <w:rsid w:val="005A147F"/>
    <w:rsid w:val="005A1D12"/>
    <w:rsid w:val="005A209A"/>
    <w:rsid w:val="005A2A38"/>
    <w:rsid w:val="005A3ADD"/>
    <w:rsid w:val="005A4518"/>
    <w:rsid w:val="005A5323"/>
    <w:rsid w:val="005A662D"/>
    <w:rsid w:val="005A6B1C"/>
    <w:rsid w:val="005B35D7"/>
    <w:rsid w:val="005B392A"/>
    <w:rsid w:val="005B3AA3"/>
    <w:rsid w:val="005B41BD"/>
    <w:rsid w:val="005B4E16"/>
    <w:rsid w:val="005B544F"/>
    <w:rsid w:val="005B55E3"/>
    <w:rsid w:val="005B6F83"/>
    <w:rsid w:val="005C04B6"/>
    <w:rsid w:val="005C25FC"/>
    <w:rsid w:val="005C2995"/>
    <w:rsid w:val="005C32E7"/>
    <w:rsid w:val="005C35EA"/>
    <w:rsid w:val="005C470A"/>
    <w:rsid w:val="005C493C"/>
    <w:rsid w:val="005C74FB"/>
    <w:rsid w:val="005D1498"/>
    <w:rsid w:val="005D1602"/>
    <w:rsid w:val="005D1A70"/>
    <w:rsid w:val="005D3382"/>
    <w:rsid w:val="005D65DE"/>
    <w:rsid w:val="005D6B0B"/>
    <w:rsid w:val="005D7BBD"/>
    <w:rsid w:val="005E12A6"/>
    <w:rsid w:val="005E2F0C"/>
    <w:rsid w:val="005E30FD"/>
    <w:rsid w:val="005E385F"/>
    <w:rsid w:val="005E3915"/>
    <w:rsid w:val="005E45BC"/>
    <w:rsid w:val="005E5B81"/>
    <w:rsid w:val="005E5C6F"/>
    <w:rsid w:val="005E5D85"/>
    <w:rsid w:val="005E6E84"/>
    <w:rsid w:val="005F06E0"/>
    <w:rsid w:val="005F168C"/>
    <w:rsid w:val="005F2CB1"/>
    <w:rsid w:val="005F3025"/>
    <w:rsid w:val="005F3AC1"/>
    <w:rsid w:val="005F4D03"/>
    <w:rsid w:val="005F50BF"/>
    <w:rsid w:val="005F528E"/>
    <w:rsid w:val="005F5AF7"/>
    <w:rsid w:val="005F618C"/>
    <w:rsid w:val="005F6777"/>
    <w:rsid w:val="005F70BD"/>
    <w:rsid w:val="006008AA"/>
    <w:rsid w:val="00601ACA"/>
    <w:rsid w:val="0060283C"/>
    <w:rsid w:val="00602CC9"/>
    <w:rsid w:val="00604F14"/>
    <w:rsid w:val="00605F62"/>
    <w:rsid w:val="00610371"/>
    <w:rsid w:val="00610397"/>
    <w:rsid w:val="006115C7"/>
    <w:rsid w:val="00611B83"/>
    <w:rsid w:val="00611BEC"/>
    <w:rsid w:val="00613257"/>
    <w:rsid w:val="0061621C"/>
    <w:rsid w:val="00620A71"/>
    <w:rsid w:val="00620D80"/>
    <w:rsid w:val="006234A6"/>
    <w:rsid w:val="00624D23"/>
    <w:rsid w:val="00624F8F"/>
    <w:rsid w:val="00625051"/>
    <w:rsid w:val="006268BE"/>
    <w:rsid w:val="006276C5"/>
    <w:rsid w:val="00630001"/>
    <w:rsid w:val="006311B3"/>
    <w:rsid w:val="0063284C"/>
    <w:rsid w:val="00632C35"/>
    <w:rsid w:val="00633833"/>
    <w:rsid w:val="0063397D"/>
    <w:rsid w:val="00634E62"/>
    <w:rsid w:val="006358D5"/>
    <w:rsid w:val="00635F6F"/>
    <w:rsid w:val="00636046"/>
    <w:rsid w:val="00636398"/>
    <w:rsid w:val="006368D3"/>
    <w:rsid w:val="00636A5D"/>
    <w:rsid w:val="006377EC"/>
    <w:rsid w:val="0064151F"/>
    <w:rsid w:val="00641533"/>
    <w:rsid w:val="0064208D"/>
    <w:rsid w:val="0064304C"/>
    <w:rsid w:val="00643475"/>
    <w:rsid w:val="0064396A"/>
    <w:rsid w:val="0064624E"/>
    <w:rsid w:val="00646851"/>
    <w:rsid w:val="00650AB9"/>
    <w:rsid w:val="00650C8A"/>
    <w:rsid w:val="00651393"/>
    <w:rsid w:val="00651CF0"/>
    <w:rsid w:val="006523F3"/>
    <w:rsid w:val="006528F9"/>
    <w:rsid w:val="00652DCB"/>
    <w:rsid w:val="00654C29"/>
    <w:rsid w:val="00654D99"/>
    <w:rsid w:val="00654EC2"/>
    <w:rsid w:val="00655733"/>
    <w:rsid w:val="00655A53"/>
    <w:rsid w:val="00655ACD"/>
    <w:rsid w:val="00656A92"/>
    <w:rsid w:val="00656DDE"/>
    <w:rsid w:val="0066011D"/>
    <w:rsid w:val="006607C0"/>
    <w:rsid w:val="006613A6"/>
    <w:rsid w:val="006627A2"/>
    <w:rsid w:val="006634E6"/>
    <w:rsid w:val="00663BE6"/>
    <w:rsid w:val="0066415F"/>
    <w:rsid w:val="0066547A"/>
    <w:rsid w:val="006655EE"/>
    <w:rsid w:val="00666D72"/>
    <w:rsid w:val="006675F9"/>
    <w:rsid w:val="00667EE7"/>
    <w:rsid w:val="00670051"/>
    <w:rsid w:val="00670922"/>
    <w:rsid w:val="00670BE1"/>
    <w:rsid w:val="00670E0F"/>
    <w:rsid w:val="0067218F"/>
    <w:rsid w:val="00673C16"/>
    <w:rsid w:val="00673DBC"/>
    <w:rsid w:val="006741F2"/>
    <w:rsid w:val="00674CC3"/>
    <w:rsid w:val="00675C72"/>
    <w:rsid w:val="00676012"/>
    <w:rsid w:val="006760DC"/>
    <w:rsid w:val="00676AF2"/>
    <w:rsid w:val="006771F9"/>
    <w:rsid w:val="006776D7"/>
    <w:rsid w:val="00677A03"/>
    <w:rsid w:val="006802DE"/>
    <w:rsid w:val="006804B5"/>
    <w:rsid w:val="00681003"/>
    <w:rsid w:val="006817C9"/>
    <w:rsid w:val="00681D82"/>
    <w:rsid w:val="00682BA6"/>
    <w:rsid w:val="00683ECE"/>
    <w:rsid w:val="00687E2C"/>
    <w:rsid w:val="00690B70"/>
    <w:rsid w:val="006913A9"/>
    <w:rsid w:val="00691F27"/>
    <w:rsid w:val="00692B16"/>
    <w:rsid w:val="00695FC2"/>
    <w:rsid w:val="00696949"/>
    <w:rsid w:val="00697052"/>
    <w:rsid w:val="00697220"/>
    <w:rsid w:val="006A241C"/>
    <w:rsid w:val="006A2E86"/>
    <w:rsid w:val="006A30AF"/>
    <w:rsid w:val="006A46FB"/>
    <w:rsid w:val="006A5C0C"/>
    <w:rsid w:val="006A5E28"/>
    <w:rsid w:val="006A6086"/>
    <w:rsid w:val="006A697B"/>
    <w:rsid w:val="006A7988"/>
    <w:rsid w:val="006A7AFF"/>
    <w:rsid w:val="006B09FB"/>
    <w:rsid w:val="006B1816"/>
    <w:rsid w:val="006B2099"/>
    <w:rsid w:val="006B2FD3"/>
    <w:rsid w:val="006B4091"/>
    <w:rsid w:val="006B50CF"/>
    <w:rsid w:val="006B570D"/>
    <w:rsid w:val="006B5727"/>
    <w:rsid w:val="006B5C2B"/>
    <w:rsid w:val="006B5CA7"/>
    <w:rsid w:val="006B5EE4"/>
    <w:rsid w:val="006B67CF"/>
    <w:rsid w:val="006B6BC3"/>
    <w:rsid w:val="006B6D73"/>
    <w:rsid w:val="006C03B8"/>
    <w:rsid w:val="006C44C2"/>
    <w:rsid w:val="006C5EC9"/>
    <w:rsid w:val="006C6059"/>
    <w:rsid w:val="006C6BE1"/>
    <w:rsid w:val="006C7522"/>
    <w:rsid w:val="006D0580"/>
    <w:rsid w:val="006D2A46"/>
    <w:rsid w:val="006D398D"/>
    <w:rsid w:val="006D56C8"/>
    <w:rsid w:val="006D571C"/>
    <w:rsid w:val="006D5D00"/>
    <w:rsid w:val="006D666D"/>
    <w:rsid w:val="006D6F08"/>
    <w:rsid w:val="006D7811"/>
    <w:rsid w:val="006E062C"/>
    <w:rsid w:val="006E28B7"/>
    <w:rsid w:val="006E3310"/>
    <w:rsid w:val="006E387D"/>
    <w:rsid w:val="006E4E39"/>
    <w:rsid w:val="006E565E"/>
    <w:rsid w:val="006E64B5"/>
    <w:rsid w:val="006E673D"/>
    <w:rsid w:val="006E7D3B"/>
    <w:rsid w:val="006F0B65"/>
    <w:rsid w:val="006F0CAD"/>
    <w:rsid w:val="006F1B70"/>
    <w:rsid w:val="006F341D"/>
    <w:rsid w:val="006F3CDE"/>
    <w:rsid w:val="006F3F78"/>
    <w:rsid w:val="006F4E7C"/>
    <w:rsid w:val="006F58D4"/>
    <w:rsid w:val="006F6D56"/>
    <w:rsid w:val="006F7626"/>
    <w:rsid w:val="0070346E"/>
    <w:rsid w:val="00704406"/>
    <w:rsid w:val="00704EDB"/>
    <w:rsid w:val="0070537F"/>
    <w:rsid w:val="00705480"/>
    <w:rsid w:val="00705753"/>
    <w:rsid w:val="00706028"/>
    <w:rsid w:val="00706101"/>
    <w:rsid w:val="00707072"/>
    <w:rsid w:val="00707706"/>
    <w:rsid w:val="00707D61"/>
    <w:rsid w:val="0071020A"/>
    <w:rsid w:val="00712287"/>
    <w:rsid w:val="007123B6"/>
    <w:rsid w:val="00712772"/>
    <w:rsid w:val="00712E40"/>
    <w:rsid w:val="007146AF"/>
    <w:rsid w:val="007148D3"/>
    <w:rsid w:val="00715B9A"/>
    <w:rsid w:val="00715E06"/>
    <w:rsid w:val="0071798B"/>
    <w:rsid w:val="00720105"/>
    <w:rsid w:val="00720376"/>
    <w:rsid w:val="007205B8"/>
    <w:rsid w:val="00721205"/>
    <w:rsid w:val="00721593"/>
    <w:rsid w:val="007231E6"/>
    <w:rsid w:val="00726EA6"/>
    <w:rsid w:val="00726ED5"/>
    <w:rsid w:val="00727208"/>
    <w:rsid w:val="00727680"/>
    <w:rsid w:val="007313B3"/>
    <w:rsid w:val="007348B1"/>
    <w:rsid w:val="00734B23"/>
    <w:rsid w:val="007362A6"/>
    <w:rsid w:val="00736BA1"/>
    <w:rsid w:val="00736D7D"/>
    <w:rsid w:val="00737202"/>
    <w:rsid w:val="00740344"/>
    <w:rsid w:val="00740E58"/>
    <w:rsid w:val="00741C68"/>
    <w:rsid w:val="00742612"/>
    <w:rsid w:val="00742E3D"/>
    <w:rsid w:val="00743018"/>
    <w:rsid w:val="0074405B"/>
    <w:rsid w:val="00744142"/>
    <w:rsid w:val="007445A0"/>
    <w:rsid w:val="007449F5"/>
    <w:rsid w:val="00744ECC"/>
    <w:rsid w:val="0074524B"/>
    <w:rsid w:val="007460A0"/>
    <w:rsid w:val="00747751"/>
    <w:rsid w:val="00747B4D"/>
    <w:rsid w:val="00747D8B"/>
    <w:rsid w:val="00750580"/>
    <w:rsid w:val="00751228"/>
    <w:rsid w:val="007535D6"/>
    <w:rsid w:val="00753CAE"/>
    <w:rsid w:val="00754B9B"/>
    <w:rsid w:val="007571E1"/>
    <w:rsid w:val="007604B2"/>
    <w:rsid w:val="00763989"/>
    <w:rsid w:val="00764B17"/>
    <w:rsid w:val="00765281"/>
    <w:rsid w:val="00765787"/>
    <w:rsid w:val="00766BAD"/>
    <w:rsid w:val="00767A0C"/>
    <w:rsid w:val="007716C3"/>
    <w:rsid w:val="00772C01"/>
    <w:rsid w:val="007730BD"/>
    <w:rsid w:val="007755F2"/>
    <w:rsid w:val="00775BC4"/>
    <w:rsid w:val="00775C76"/>
    <w:rsid w:val="00776971"/>
    <w:rsid w:val="00777025"/>
    <w:rsid w:val="00780339"/>
    <w:rsid w:val="00780466"/>
    <w:rsid w:val="007804ED"/>
    <w:rsid w:val="0078177E"/>
    <w:rsid w:val="0078242F"/>
    <w:rsid w:val="00782F19"/>
    <w:rsid w:val="0078304C"/>
    <w:rsid w:val="00783673"/>
    <w:rsid w:val="00783800"/>
    <w:rsid w:val="00783E9E"/>
    <w:rsid w:val="00785490"/>
    <w:rsid w:val="00787234"/>
    <w:rsid w:val="00790829"/>
    <w:rsid w:val="007913AC"/>
    <w:rsid w:val="007925EA"/>
    <w:rsid w:val="00793CD8"/>
    <w:rsid w:val="00793EEA"/>
    <w:rsid w:val="00795C92"/>
    <w:rsid w:val="00796231"/>
    <w:rsid w:val="007A000A"/>
    <w:rsid w:val="007A0B13"/>
    <w:rsid w:val="007A18AB"/>
    <w:rsid w:val="007A1CB3"/>
    <w:rsid w:val="007A306F"/>
    <w:rsid w:val="007A3A3A"/>
    <w:rsid w:val="007A3FE1"/>
    <w:rsid w:val="007A4031"/>
    <w:rsid w:val="007A43A6"/>
    <w:rsid w:val="007A554B"/>
    <w:rsid w:val="007A58A6"/>
    <w:rsid w:val="007A5C78"/>
    <w:rsid w:val="007A7495"/>
    <w:rsid w:val="007B3D2D"/>
    <w:rsid w:val="007B50AE"/>
    <w:rsid w:val="007B51DF"/>
    <w:rsid w:val="007B5ACB"/>
    <w:rsid w:val="007C05DD"/>
    <w:rsid w:val="007C0A75"/>
    <w:rsid w:val="007C1010"/>
    <w:rsid w:val="007C1C0A"/>
    <w:rsid w:val="007C2F4B"/>
    <w:rsid w:val="007C342A"/>
    <w:rsid w:val="007C3D18"/>
    <w:rsid w:val="007C40D0"/>
    <w:rsid w:val="007C4C39"/>
    <w:rsid w:val="007C528D"/>
    <w:rsid w:val="007C60BF"/>
    <w:rsid w:val="007C6A07"/>
    <w:rsid w:val="007C75A1"/>
    <w:rsid w:val="007C77A5"/>
    <w:rsid w:val="007D04E5"/>
    <w:rsid w:val="007D1182"/>
    <w:rsid w:val="007D29A3"/>
    <w:rsid w:val="007D3941"/>
    <w:rsid w:val="007D3AD2"/>
    <w:rsid w:val="007D3FDF"/>
    <w:rsid w:val="007D5901"/>
    <w:rsid w:val="007D65C4"/>
    <w:rsid w:val="007D7526"/>
    <w:rsid w:val="007E050B"/>
    <w:rsid w:val="007E0706"/>
    <w:rsid w:val="007E082B"/>
    <w:rsid w:val="007E1DCF"/>
    <w:rsid w:val="007E28CE"/>
    <w:rsid w:val="007E324C"/>
    <w:rsid w:val="007E3ED6"/>
    <w:rsid w:val="007E4610"/>
    <w:rsid w:val="007E4715"/>
    <w:rsid w:val="007E505B"/>
    <w:rsid w:val="007E55D7"/>
    <w:rsid w:val="007E5FE8"/>
    <w:rsid w:val="007E6BD5"/>
    <w:rsid w:val="007E7091"/>
    <w:rsid w:val="007F0115"/>
    <w:rsid w:val="007F03C3"/>
    <w:rsid w:val="007F0A6C"/>
    <w:rsid w:val="007F0C73"/>
    <w:rsid w:val="007F1359"/>
    <w:rsid w:val="007F264E"/>
    <w:rsid w:val="007F26F1"/>
    <w:rsid w:val="007F4F0D"/>
    <w:rsid w:val="0080049D"/>
    <w:rsid w:val="00802DCA"/>
    <w:rsid w:val="00802EE2"/>
    <w:rsid w:val="008036DF"/>
    <w:rsid w:val="00803B8A"/>
    <w:rsid w:val="00803FAE"/>
    <w:rsid w:val="0080605F"/>
    <w:rsid w:val="00807786"/>
    <w:rsid w:val="0081055B"/>
    <w:rsid w:val="00811425"/>
    <w:rsid w:val="00811505"/>
    <w:rsid w:val="00811FCB"/>
    <w:rsid w:val="008144B9"/>
    <w:rsid w:val="008158D6"/>
    <w:rsid w:val="0081606D"/>
    <w:rsid w:val="00817196"/>
    <w:rsid w:val="00817EDE"/>
    <w:rsid w:val="00821D89"/>
    <w:rsid w:val="00822943"/>
    <w:rsid w:val="00822B47"/>
    <w:rsid w:val="00823016"/>
    <w:rsid w:val="00823081"/>
    <w:rsid w:val="008235DB"/>
    <w:rsid w:val="00824AB4"/>
    <w:rsid w:val="00824B72"/>
    <w:rsid w:val="00824F6D"/>
    <w:rsid w:val="00825C42"/>
    <w:rsid w:val="00825C57"/>
    <w:rsid w:val="00825D25"/>
    <w:rsid w:val="00827D6F"/>
    <w:rsid w:val="00827E1A"/>
    <w:rsid w:val="008311F3"/>
    <w:rsid w:val="00831210"/>
    <w:rsid w:val="00832D13"/>
    <w:rsid w:val="00834D48"/>
    <w:rsid w:val="0083765F"/>
    <w:rsid w:val="008376AC"/>
    <w:rsid w:val="00840490"/>
    <w:rsid w:val="0084116C"/>
    <w:rsid w:val="00841CB3"/>
    <w:rsid w:val="00842451"/>
    <w:rsid w:val="008444E8"/>
    <w:rsid w:val="0084498D"/>
    <w:rsid w:val="00844E80"/>
    <w:rsid w:val="00846834"/>
    <w:rsid w:val="00846FE7"/>
    <w:rsid w:val="00847403"/>
    <w:rsid w:val="00847FC4"/>
    <w:rsid w:val="008504A2"/>
    <w:rsid w:val="00850CEC"/>
    <w:rsid w:val="00850E9E"/>
    <w:rsid w:val="0085247B"/>
    <w:rsid w:val="00854B3A"/>
    <w:rsid w:val="00855482"/>
    <w:rsid w:val="00855931"/>
    <w:rsid w:val="00856911"/>
    <w:rsid w:val="00856A04"/>
    <w:rsid w:val="00857C84"/>
    <w:rsid w:val="00860458"/>
    <w:rsid w:val="0086275C"/>
    <w:rsid w:val="008628C0"/>
    <w:rsid w:val="00865044"/>
    <w:rsid w:val="00865151"/>
    <w:rsid w:val="0086540F"/>
    <w:rsid w:val="00865698"/>
    <w:rsid w:val="00865EFB"/>
    <w:rsid w:val="0086740A"/>
    <w:rsid w:val="0086758D"/>
    <w:rsid w:val="008677FD"/>
    <w:rsid w:val="008706D4"/>
    <w:rsid w:val="00870F8A"/>
    <w:rsid w:val="008719A4"/>
    <w:rsid w:val="00871D23"/>
    <w:rsid w:val="00872AFD"/>
    <w:rsid w:val="00873C26"/>
    <w:rsid w:val="00874312"/>
    <w:rsid w:val="0087437C"/>
    <w:rsid w:val="00875CD7"/>
    <w:rsid w:val="0087646B"/>
    <w:rsid w:val="00876B4D"/>
    <w:rsid w:val="008770B8"/>
    <w:rsid w:val="00877F18"/>
    <w:rsid w:val="0088016B"/>
    <w:rsid w:val="008803CA"/>
    <w:rsid w:val="00880D3E"/>
    <w:rsid w:val="00884366"/>
    <w:rsid w:val="008864B9"/>
    <w:rsid w:val="0089173C"/>
    <w:rsid w:val="00893559"/>
    <w:rsid w:val="00893C6A"/>
    <w:rsid w:val="008940F7"/>
    <w:rsid w:val="00894A88"/>
    <w:rsid w:val="00895386"/>
    <w:rsid w:val="00895660"/>
    <w:rsid w:val="00897036"/>
    <w:rsid w:val="00897414"/>
    <w:rsid w:val="008A0628"/>
    <w:rsid w:val="008A21FF"/>
    <w:rsid w:val="008A2CE2"/>
    <w:rsid w:val="008A30AC"/>
    <w:rsid w:val="008A44B8"/>
    <w:rsid w:val="008A4CCF"/>
    <w:rsid w:val="008A4CE0"/>
    <w:rsid w:val="008A51A8"/>
    <w:rsid w:val="008A54C7"/>
    <w:rsid w:val="008A77D8"/>
    <w:rsid w:val="008A7858"/>
    <w:rsid w:val="008B0483"/>
    <w:rsid w:val="008B120C"/>
    <w:rsid w:val="008B2228"/>
    <w:rsid w:val="008B40D0"/>
    <w:rsid w:val="008B51A0"/>
    <w:rsid w:val="008B592A"/>
    <w:rsid w:val="008B63B8"/>
    <w:rsid w:val="008B7B5C"/>
    <w:rsid w:val="008C0C99"/>
    <w:rsid w:val="008C1BD9"/>
    <w:rsid w:val="008C2017"/>
    <w:rsid w:val="008C4958"/>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9D8"/>
    <w:rsid w:val="008D4336"/>
    <w:rsid w:val="008D45F2"/>
    <w:rsid w:val="008D4603"/>
    <w:rsid w:val="008D6AF5"/>
    <w:rsid w:val="008D6CCC"/>
    <w:rsid w:val="008D6D1A"/>
    <w:rsid w:val="008E035A"/>
    <w:rsid w:val="008E05F6"/>
    <w:rsid w:val="008E065E"/>
    <w:rsid w:val="008E0927"/>
    <w:rsid w:val="008E0FF2"/>
    <w:rsid w:val="008E1909"/>
    <w:rsid w:val="008E1B93"/>
    <w:rsid w:val="008E1D88"/>
    <w:rsid w:val="008E25DF"/>
    <w:rsid w:val="008E3445"/>
    <w:rsid w:val="008E64DA"/>
    <w:rsid w:val="008E6DB3"/>
    <w:rsid w:val="008E76FD"/>
    <w:rsid w:val="008F0B25"/>
    <w:rsid w:val="008F0E93"/>
    <w:rsid w:val="008F109D"/>
    <w:rsid w:val="008F1EAB"/>
    <w:rsid w:val="008F33DC"/>
    <w:rsid w:val="008F477F"/>
    <w:rsid w:val="008F55FE"/>
    <w:rsid w:val="008F6C3F"/>
    <w:rsid w:val="00901136"/>
    <w:rsid w:val="00901380"/>
    <w:rsid w:val="00902350"/>
    <w:rsid w:val="0090336B"/>
    <w:rsid w:val="009053AA"/>
    <w:rsid w:val="009068B4"/>
    <w:rsid w:val="00906939"/>
    <w:rsid w:val="00910B7D"/>
    <w:rsid w:val="00911127"/>
    <w:rsid w:val="00911DFB"/>
    <w:rsid w:val="00912944"/>
    <w:rsid w:val="009139D9"/>
    <w:rsid w:val="0091445A"/>
    <w:rsid w:val="00914AD8"/>
    <w:rsid w:val="00915240"/>
    <w:rsid w:val="00915E3A"/>
    <w:rsid w:val="00916079"/>
    <w:rsid w:val="00916DAC"/>
    <w:rsid w:val="0091703B"/>
    <w:rsid w:val="00917641"/>
    <w:rsid w:val="0091778E"/>
    <w:rsid w:val="00917CE9"/>
    <w:rsid w:val="00920BF2"/>
    <w:rsid w:val="00922010"/>
    <w:rsid w:val="00922A69"/>
    <w:rsid w:val="00926863"/>
    <w:rsid w:val="009270E9"/>
    <w:rsid w:val="00927F40"/>
    <w:rsid w:val="0093103F"/>
    <w:rsid w:val="00931661"/>
    <w:rsid w:val="00931BD9"/>
    <w:rsid w:val="00931F69"/>
    <w:rsid w:val="00932299"/>
    <w:rsid w:val="00934DF8"/>
    <w:rsid w:val="0093601A"/>
    <w:rsid w:val="00936851"/>
    <w:rsid w:val="009368F3"/>
    <w:rsid w:val="00940BAC"/>
    <w:rsid w:val="009414FD"/>
    <w:rsid w:val="00941636"/>
    <w:rsid w:val="0094346C"/>
    <w:rsid w:val="00943742"/>
    <w:rsid w:val="00945C05"/>
    <w:rsid w:val="00946945"/>
    <w:rsid w:val="00947179"/>
    <w:rsid w:val="00947713"/>
    <w:rsid w:val="00947B01"/>
    <w:rsid w:val="009506F9"/>
    <w:rsid w:val="00950DE7"/>
    <w:rsid w:val="00950FBF"/>
    <w:rsid w:val="00951BFD"/>
    <w:rsid w:val="00953920"/>
    <w:rsid w:val="00953D47"/>
    <w:rsid w:val="00955282"/>
    <w:rsid w:val="00956711"/>
    <w:rsid w:val="0095681E"/>
    <w:rsid w:val="00956832"/>
    <w:rsid w:val="009572D4"/>
    <w:rsid w:val="00957337"/>
    <w:rsid w:val="0095740D"/>
    <w:rsid w:val="009579C0"/>
    <w:rsid w:val="00960FEA"/>
    <w:rsid w:val="00961921"/>
    <w:rsid w:val="00961DF7"/>
    <w:rsid w:val="00963C21"/>
    <w:rsid w:val="0096430A"/>
    <w:rsid w:val="009646C1"/>
    <w:rsid w:val="00964C30"/>
    <w:rsid w:val="0096554B"/>
    <w:rsid w:val="0096584A"/>
    <w:rsid w:val="00965C53"/>
    <w:rsid w:val="00967A33"/>
    <w:rsid w:val="00970523"/>
    <w:rsid w:val="00971F08"/>
    <w:rsid w:val="009739E6"/>
    <w:rsid w:val="009755EB"/>
    <w:rsid w:val="00975997"/>
    <w:rsid w:val="0097603D"/>
    <w:rsid w:val="00976949"/>
    <w:rsid w:val="00980477"/>
    <w:rsid w:val="0098097C"/>
    <w:rsid w:val="009827EF"/>
    <w:rsid w:val="0098284E"/>
    <w:rsid w:val="00984217"/>
    <w:rsid w:val="00985253"/>
    <w:rsid w:val="009853B3"/>
    <w:rsid w:val="00985CBE"/>
    <w:rsid w:val="00990630"/>
    <w:rsid w:val="009913E0"/>
    <w:rsid w:val="00991761"/>
    <w:rsid w:val="00993727"/>
    <w:rsid w:val="00994DCA"/>
    <w:rsid w:val="00995585"/>
    <w:rsid w:val="009960EC"/>
    <w:rsid w:val="00996D46"/>
    <w:rsid w:val="009970DD"/>
    <w:rsid w:val="00997687"/>
    <w:rsid w:val="009A0FBA"/>
    <w:rsid w:val="009A1601"/>
    <w:rsid w:val="009A330C"/>
    <w:rsid w:val="009A3421"/>
    <w:rsid w:val="009A41F8"/>
    <w:rsid w:val="009A462D"/>
    <w:rsid w:val="009A54C1"/>
    <w:rsid w:val="009A5CBA"/>
    <w:rsid w:val="009A72AE"/>
    <w:rsid w:val="009B19F5"/>
    <w:rsid w:val="009B1F30"/>
    <w:rsid w:val="009B25F4"/>
    <w:rsid w:val="009B3AC2"/>
    <w:rsid w:val="009B4B77"/>
    <w:rsid w:val="009B4DF4"/>
    <w:rsid w:val="009B564E"/>
    <w:rsid w:val="009B76F3"/>
    <w:rsid w:val="009B7E87"/>
    <w:rsid w:val="009C08B0"/>
    <w:rsid w:val="009C2A60"/>
    <w:rsid w:val="009C403E"/>
    <w:rsid w:val="009C4EDC"/>
    <w:rsid w:val="009C5120"/>
    <w:rsid w:val="009C527F"/>
    <w:rsid w:val="009C748E"/>
    <w:rsid w:val="009D030E"/>
    <w:rsid w:val="009D0B72"/>
    <w:rsid w:val="009D1618"/>
    <w:rsid w:val="009D28C4"/>
    <w:rsid w:val="009D4FF0"/>
    <w:rsid w:val="009D5983"/>
    <w:rsid w:val="009D5E2A"/>
    <w:rsid w:val="009D6AE4"/>
    <w:rsid w:val="009D703C"/>
    <w:rsid w:val="009D718F"/>
    <w:rsid w:val="009D74E1"/>
    <w:rsid w:val="009D7A4A"/>
    <w:rsid w:val="009E068F"/>
    <w:rsid w:val="009E14E0"/>
    <w:rsid w:val="009E35DB"/>
    <w:rsid w:val="009E407B"/>
    <w:rsid w:val="009E47A3"/>
    <w:rsid w:val="009E537B"/>
    <w:rsid w:val="009E5902"/>
    <w:rsid w:val="009E6AA6"/>
    <w:rsid w:val="009E6AC2"/>
    <w:rsid w:val="009E6F0C"/>
    <w:rsid w:val="009F0519"/>
    <w:rsid w:val="009F08F3"/>
    <w:rsid w:val="009F1348"/>
    <w:rsid w:val="009F1A79"/>
    <w:rsid w:val="009F1B6A"/>
    <w:rsid w:val="009F1ECE"/>
    <w:rsid w:val="009F21AA"/>
    <w:rsid w:val="009F344F"/>
    <w:rsid w:val="009F3D98"/>
    <w:rsid w:val="009F4360"/>
    <w:rsid w:val="009F47FE"/>
    <w:rsid w:val="009F7363"/>
    <w:rsid w:val="00A00F1F"/>
    <w:rsid w:val="00A032E4"/>
    <w:rsid w:val="00A048A8"/>
    <w:rsid w:val="00A04F49"/>
    <w:rsid w:val="00A0651F"/>
    <w:rsid w:val="00A07855"/>
    <w:rsid w:val="00A10C8A"/>
    <w:rsid w:val="00A11AB7"/>
    <w:rsid w:val="00A1305E"/>
    <w:rsid w:val="00A1364F"/>
    <w:rsid w:val="00A13991"/>
    <w:rsid w:val="00A13E54"/>
    <w:rsid w:val="00A1595C"/>
    <w:rsid w:val="00A17F63"/>
    <w:rsid w:val="00A20BB9"/>
    <w:rsid w:val="00A2193B"/>
    <w:rsid w:val="00A2351A"/>
    <w:rsid w:val="00A23945"/>
    <w:rsid w:val="00A24365"/>
    <w:rsid w:val="00A249D6"/>
    <w:rsid w:val="00A24C33"/>
    <w:rsid w:val="00A264A9"/>
    <w:rsid w:val="00A27785"/>
    <w:rsid w:val="00A30187"/>
    <w:rsid w:val="00A31044"/>
    <w:rsid w:val="00A32662"/>
    <w:rsid w:val="00A3448A"/>
    <w:rsid w:val="00A35099"/>
    <w:rsid w:val="00A35130"/>
    <w:rsid w:val="00A354DD"/>
    <w:rsid w:val="00A36297"/>
    <w:rsid w:val="00A3751A"/>
    <w:rsid w:val="00A4191F"/>
    <w:rsid w:val="00A41E2B"/>
    <w:rsid w:val="00A44B11"/>
    <w:rsid w:val="00A45B74"/>
    <w:rsid w:val="00A47529"/>
    <w:rsid w:val="00A50F35"/>
    <w:rsid w:val="00A50FA9"/>
    <w:rsid w:val="00A521B4"/>
    <w:rsid w:val="00A52E1D"/>
    <w:rsid w:val="00A545B8"/>
    <w:rsid w:val="00A55F73"/>
    <w:rsid w:val="00A56D3F"/>
    <w:rsid w:val="00A571A6"/>
    <w:rsid w:val="00A572BF"/>
    <w:rsid w:val="00A60917"/>
    <w:rsid w:val="00A61499"/>
    <w:rsid w:val="00A622C6"/>
    <w:rsid w:val="00A62A77"/>
    <w:rsid w:val="00A631EF"/>
    <w:rsid w:val="00A63483"/>
    <w:rsid w:val="00A64EC7"/>
    <w:rsid w:val="00A654B7"/>
    <w:rsid w:val="00A657D7"/>
    <w:rsid w:val="00A65935"/>
    <w:rsid w:val="00A660AC"/>
    <w:rsid w:val="00A6684B"/>
    <w:rsid w:val="00A670A6"/>
    <w:rsid w:val="00A674D5"/>
    <w:rsid w:val="00A67E6C"/>
    <w:rsid w:val="00A71B99"/>
    <w:rsid w:val="00A739D0"/>
    <w:rsid w:val="00A74E64"/>
    <w:rsid w:val="00A758C5"/>
    <w:rsid w:val="00A761D4"/>
    <w:rsid w:val="00A77EC4"/>
    <w:rsid w:val="00A80BAB"/>
    <w:rsid w:val="00A826B6"/>
    <w:rsid w:val="00A8392D"/>
    <w:rsid w:val="00A85AE7"/>
    <w:rsid w:val="00A9043E"/>
    <w:rsid w:val="00A908BD"/>
    <w:rsid w:val="00A92879"/>
    <w:rsid w:val="00A92ACF"/>
    <w:rsid w:val="00A93F17"/>
    <w:rsid w:val="00A9442A"/>
    <w:rsid w:val="00A96CC6"/>
    <w:rsid w:val="00AA016F"/>
    <w:rsid w:val="00AA18D0"/>
    <w:rsid w:val="00AA1AEA"/>
    <w:rsid w:val="00AA1ED6"/>
    <w:rsid w:val="00AA2677"/>
    <w:rsid w:val="00AA2FDC"/>
    <w:rsid w:val="00AA50D3"/>
    <w:rsid w:val="00AA51D6"/>
    <w:rsid w:val="00AA56AA"/>
    <w:rsid w:val="00AB0BC8"/>
    <w:rsid w:val="00AB11CA"/>
    <w:rsid w:val="00AB14D9"/>
    <w:rsid w:val="00AB1EAE"/>
    <w:rsid w:val="00AB2AA4"/>
    <w:rsid w:val="00AB3A11"/>
    <w:rsid w:val="00AB4AB8"/>
    <w:rsid w:val="00AB54EC"/>
    <w:rsid w:val="00AB655E"/>
    <w:rsid w:val="00AB7AE6"/>
    <w:rsid w:val="00AC007F"/>
    <w:rsid w:val="00AC1910"/>
    <w:rsid w:val="00AC294B"/>
    <w:rsid w:val="00AC297D"/>
    <w:rsid w:val="00AC2ECD"/>
    <w:rsid w:val="00AC3119"/>
    <w:rsid w:val="00AC4138"/>
    <w:rsid w:val="00AC468A"/>
    <w:rsid w:val="00AC47B3"/>
    <w:rsid w:val="00AC49FB"/>
    <w:rsid w:val="00AC5A10"/>
    <w:rsid w:val="00AC6D53"/>
    <w:rsid w:val="00AD0348"/>
    <w:rsid w:val="00AD0495"/>
    <w:rsid w:val="00AD0AA3"/>
    <w:rsid w:val="00AD123F"/>
    <w:rsid w:val="00AD3168"/>
    <w:rsid w:val="00AD3F94"/>
    <w:rsid w:val="00AD4A5A"/>
    <w:rsid w:val="00AD6DFA"/>
    <w:rsid w:val="00AD7F95"/>
    <w:rsid w:val="00AE02DB"/>
    <w:rsid w:val="00AE0905"/>
    <w:rsid w:val="00AE27AC"/>
    <w:rsid w:val="00AE40E0"/>
    <w:rsid w:val="00AE4DBA"/>
    <w:rsid w:val="00AE4F07"/>
    <w:rsid w:val="00AE533D"/>
    <w:rsid w:val="00AE62E2"/>
    <w:rsid w:val="00AE7446"/>
    <w:rsid w:val="00AF0D31"/>
    <w:rsid w:val="00AF0DB6"/>
    <w:rsid w:val="00AF1559"/>
    <w:rsid w:val="00AF1C5D"/>
    <w:rsid w:val="00AF2026"/>
    <w:rsid w:val="00AF42D7"/>
    <w:rsid w:val="00AF43AB"/>
    <w:rsid w:val="00AF50C3"/>
    <w:rsid w:val="00AF53B6"/>
    <w:rsid w:val="00AF5CB5"/>
    <w:rsid w:val="00B0035B"/>
    <w:rsid w:val="00B00379"/>
    <w:rsid w:val="00B006FE"/>
    <w:rsid w:val="00B007CB"/>
    <w:rsid w:val="00B010BF"/>
    <w:rsid w:val="00B02AA9"/>
    <w:rsid w:val="00B02FA3"/>
    <w:rsid w:val="00B03C4C"/>
    <w:rsid w:val="00B0419A"/>
    <w:rsid w:val="00B05084"/>
    <w:rsid w:val="00B05BA5"/>
    <w:rsid w:val="00B0611B"/>
    <w:rsid w:val="00B10B32"/>
    <w:rsid w:val="00B136CA"/>
    <w:rsid w:val="00B14FE8"/>
    <w:rsid w:val="00B157F9"/>
    <w:rsid w:val="00B167F1"/>
    <w:rsid w:val="00B20256"/>
    <w:rsid w:val="00B20D09"/>
    <w:rsid w:val="00B211B2"/>
    <w:rsid w:val="00B21BE8"/>
    <w:rsid w:val="00B253E6"/>
    <w:rsid w:val="00B2763F"/>
    <w:rsid w:val="00B27AAC"/>
    <w:rsid w:val="00B30591"/>
    <w:rsid w:val="00B30929"/>
    <w:rsid w:val="00B31239"/>
    <w:rsid w:val="00B3276D"/>
    <w:rsid w:val="00B34AC3"/>
    <w:rsid w:val="00B372AA"/>
    <w:rsid w:val="00B37BC2"/>
    <w:rsid w:val="00B40445"/>
    <w:rsid w:val="00B40ECB"/>
    <w:rsid w:val="00B413D6"/>
    <w:rsid w:val="00B41888"/>
    <w:rsid w:val="00B41DF0"/>
    <w:rsid w:val="00B425F8"/>
    <w:rsid w:val="00B42BDB"/>
    <w:rsid w:val="00B43407"/>
    <w:rsid w:val="00B45A52"/>
    <w:rsid w:val="00B46175"/>
    <w:rsid w:val="00B474B4"/>
    <w:rsid w:val="00B514E7"/>
    <w:rsid w:val="00B51BFF"/>
    <w:rsid w:val="00B51F19"/>
    <w:rsid w:val="00B548DA"/>
    <w:rsid w:val="00B5748F"/>
    <w:rsid w:val="00B60727"/>
    <w:rsid w:val="00B6145A"/>
    <w:rsid w:val="00B61615"/>
    <w:rsid w:val="00B61BB1"/>
    <w:rsid w:val="00B61E56"/>
    <w:rsid w:val="00B62AAA"/>
    <w:rsid w:val="00B63500"/>
    <w:rsid w:val="00B650C1"/>
    <w:rsid w:val="00B664C7"/>
    <w:rsid w:val="00B666BC"/>
    <w:rsid w:val="00B669AD"/>
    <w:rsid w:val="00B66C81"/>
    <w:rsid w:val="00B67691"/>
    <w:rsid w:val="00B706A1"/>
    <w:rsid w:val="00B70D90"/>
    <w:rsid w:val="00B739F6"/>
    <w:rsid w:val="00B74B6C"/>
    <w:rsid w:val="00B81A6C"/>
    <w:rsid w:val="00B81FDF"/>
    <w:rsid w:val="00B837ED"/>
    <w:rsid w:val="00B83B64"/>
    <w:rsid w:val="00B85DE5"/>
    <w:rsid w:val="00B90580"/>
    <w:rsid w:val="00B907EA"/>
    <w:rsid w:val="00B90F73"/>
    <w:rsid w:val="00B93188"/>
    <w:rsid w:val="00B93B59"/>
    <w:rsid w:val="00B93DEF"/>
    <w:rsid w:val="00B9406A"/>
    <w:rsid w:val="00B940C7"/>
    <w:rsid w:val="00B959EC"/>
    <w:rsid w:val="00B97D9D"/>
    <w:rsid w:val="00BA04E2"/>
    <w:rsid w:val="00BA181D"/>
    <w:rsid w:val="00BA1FE5"/>
    <w:rsid w:val="00BA2280"/>
    <w:rsid w:val="00BA2A08"/>
    <w:rsid w:val="00BA30BC"/>
    <w:rsid w:val="00BA4150"/>
    <w:rsid w:val="00BA52AA"/>
    <w:rsid w:val="00BA5641"/>
    <w:rsid w:val="00BA56D2"/>
    <w:rsid w:val="00BA5A3F"/>
    <w:rsid w:val="00BA76E0"/>
    <w:rsid w:val="00BB2A25"/>
    <w:rsid w:val="00BB346D"/>
    <w:rsid w:val="00BB3E6E"/>
    <w:rsid w:val="00BB40A1"/>
    <w:rsid w:val="00BB51BB"/>
    <w:rsid w:val="00BB51E9"/>
    <w:rsid w:val="00BB5430"/>
    <w:rsid w:val="00BB598E"/>
    <w:rsid w:val="00BB6996"/>
    <w:rsid w:val="00BC0C69"/>
    <w:rsid w:val="00BC0E6A"/>
    <w:rsid w:val="00BC0FDC"/>
    <w:rsid w:val="00BC1DBA"/>
    <w:rsid w:val="00BC1DEE"/>
    <w:rsid w:val="00BC29AB"/>
    <w:rsid w:val="00BC3053"/>
    <w:rsid w:val="00BC4D2E"/>
    <w:rsid w:val="00BC6412"/>
    <w:rsid w:val="00BC762C"/>
    <w:rsid w:val="00BD48AC"/>
    <w:rsid w:val="00BD5F1A"/>
    <w:rsid w:val="00BD63B6"/>
    <w:rsid w:val="00BD6BB3"/>
    <w:rsid w:val="00BD70C3"/>
    <w:rsid w:val="00BE00AA"/>
    <w:rsid w:val="00BE0792"/>
    <w:rsid w:val="00BE1234"/>
    <w:rsid w:val="00BE23A9"/>
    <w:rsid w:val="00BE2D8C"/>
    <w:rsid w:val="00BE2FA6"/>
    <w:rsid w:val="00BE32F5"/>
    <w:rsid w:val="00BE333F"/>
    <w:rsid w:val="00BE3901"/>
    <w:rsid w:val="00BE7406"/>
    <w:rsid w:val="00BE7603"/>
    <w:rsid w:val="00BF058E"/>
    <w:rsid w:val="00BF0B1D"/>
    <w:rsid w:val="00BF16CF"/>
    <w:rsid w:val="00BF20C7"/>
    <w:rsid w:val="00BF3279"/>
    <w:rsid w:val="00BF5B78"/>
    <w:rsid w:val="00BF74C7"/>
    <w:rsid w:val="00C00DEB"/>
    <w:rsid w:val="00C015F1"/>
    <w:rsid w:val="00C0173E"/>
    <w:rsid w:val="00C01973"/>
    <w:rsid w:val="00C01F33"/>
    <w:rsid w:val="00C0286B"/>
    <w:rsid w:val="00C02CC6"/>
    <w:rsid w:val="00C040F7"/>
    <w:rsid w:val="00C041B0"/>
    <w:rsid w:val="00C044AB"/>
    <w:rsid w:val="00C055AB"/>
    <w:rsid w:val="00C05706"/>
    <w:rsid w:val="00C06AF4"/>
    <w:rsid w:val="00C07377"/>
    <w:rsid w:val="00C10478"/>
    <w:rsid w:val="00C11122"/>
    <w:rsid w:val="00C11575"/>
    <w:rsid w:val="00C1189B"/>
    <w:rsid w:val="00C11B5A"/>
    <w:rsid w:val="00C11C01"/>
    <w:rsid w:val="00C12107"/>
    <w:rsid w:val="00C12C66"/>
    <w:rsid w:val="00C138FB"/>
    <w:rsid w:val="00C145B6"/>
    <w:rsid w:val="00C14D4B"/>
    <w:rsid w:val="00C154BB"/>
    <w:rsid w:val="00C16AC3"/>
    <w:rsid w:val="00C17E6F"/>
    <w:rsid w:val="00C20190"/>
    <w:rsid w:val="00C20A44"/>
    <w:rsid w:val="00C223E6"/>
    <w:rsid w:val="00C23971"/>
    <w:rsid w:val="00C24DFB"/>
    <w:rsid w:val="00C26F91"/>
    <w:rsid w:val="00C26FAA"/>
    <w:rsid w:val="00C279B5"/>
    <w:rsid w:val="00C27C45"/>
    <w:rsid w:val="00C27E0C"/>
    <w:rsid w:val="00C30437"/>
    <w:rsid w:val="00C317A7"/>
    <w:rsid w:val="00C34167"/>
    <w:rsid w:val="00C3719D"/>
    <w:rsid w:val="00C372D0"/>
    <w:rsid w:val="00C41A9D"/>
    <w:rsid w:val="00C420EA"/>
    <w:rsid w:val="00C43C3B"/>
    <w:rsid w:val="00C44AE7"/>
    <w:rsid w:val="00C4791A"/>
    <w:rsid w:val="00C47A84"/>
    <w:rsid w:val="00C50C02"/>
    <w:rsid w:val="00C536F2"/>
    <w:rsid w:val="00C5386C"/>
    <w:rsid w:val="00C54995"/>
    <w:rsid w:val="00C54D41"/>
    <w:rsid w:val="00C5639D"/>
    <w:rsid w:val="00C56496"/>
    <w:rsid w:val="00C60783"/>
    <w:rsid w:val="00C60E2B"/>
    <w:rsid w:val="00C61EA7"/>
    <w:rsid w:val="00C644F7"/>
    <w:rsid w:val="00C64672"/>
    <w:rsid w:val="00C66356"/>
    <w:rsid w:val="00C70697"/>
    <w:rsid w:val="00C7229E"/>
    <w:rsid w:val="00C72EF4"/>
    <w:rsid w:val="00C73B76"/>
    <w:rsid w:val="00C74D92"/>
    <w:rsid w:val="00C75608"/>
    <w:rsid w:val="00C75857"/>
    <w:rsid w:val="00C759CB"/>
    <w:rsid w:val="00C75D2F"/>
    <w:rsid w:val="00C767BE"/>
    <w:rsid w:val="00C76963"/>
    <w:rsid w:val="00C76E3C"/>
    <w:rsid w:val="00C76E76"/>
    <w:rsid w:val="00C81534"/>
    <w:rsid w:val="00C81568"/>
    <w:rsid w:val="00C81698"/>
    <w:rsid w:val="00C82B92"/>
    <w:rsid w:val="00C84BF1"/>
    <w:rsid w:val="00C84C66"/>
    <w:rsid w:val="00C856D5"/>
    <w:rsid w:val="00C86997"/>
    <w:rsid w:val="00C87CDD"/>
    <w:rsid w:val="00C9027A"/>
    <w:rsid w:val="00C905DF"/>
    <w:rsid w:val="00C9068E"/>
    <w:rsid w:val="00C9363F"/>
    <w:rsid w:val="00C93C4B"/>
    <w:rsid w:val="00C94175"/>
    <w:rsid w:val="00C944AB"/>
    <w:rsid w:val="00C9451D"/>
    <w:rsid w:val="00C9474E"/>
    <w:rsid w:val="00C95B40"/>
    <w:rsid w:val="00C96107"/>
    <w:rsid w:val="00C968EC"/>
    <w:rsid w:val="00C9793A"/>
    <w:rsid w:val="00C97B29"/>
    <w:rsid w:val="00CA0805"/>
    <w:rsid w:val="00CA0A10"/>
    <w:rsid w:val="00CA1ED8"/>
    <w:rsid w:val="00CA3172"/>
    <w:rsid w:val="00CA61FB"/>
    <w:rsid w:val="00CA6CFD"/>
    <w:rsid w:val="00CA7170"/>
    <w:rsid w:val="00CB0DE9"/>
    <w:rsid w:val="00CB1F63"/>
    <w:rsid w:val="00CB4CE0"/>
    <w:rsid w:val="00CB54FB"/>
    <w:rsid w:val="00CB585C"/>
    <w:rsid w:val="00CB7170"/>
    <w:rsid w:val="00CC040E"/>
    <w:rsid w:val="00CC0818"/>
    <w:rsid w:val="00CC1083"/>
    <w:rsid w:val="00CC111F"/>
    <w:rsid w:val="00CC2011"/>
    <w:rsid w:val="00CC3879"/>
    <w:rsid w:val="00CC3EA0"/>
    <w:rsid w:val="00CC4FF9"/>
    <w:rsid w:val="00CC565C"/>
    <w:rsid w:val="00CC594A"/>
    <w:rsid w:val="00CC7B45"/>
    <w:rsid w:val="00CD0835"/>
    <w:rsid w:val="00CD1188"/>
    <w:rsid w:val="00CD1D2E"/>
    <w:rsid w:val="00CD2ED1"/>
    <w:rsid w:val="00CD337B"/>
    <w:rsid w:val="00CD3A90"/>
    <w:rsid w:val="00CD3F6B"/>
    <w:rsid w:val="00CD5A07"/>
    <w:rsid w:val="00CD5C14"/>
    <w:rsid w:val="00CD7AD3"/>
    <w:rsid w:val="00CE032F"/>
    <w:rsid w:val="00CE0424"/>
    <w:rsid w:val="00CE077B"/>
    <w:rsid w:val="00CE2300"/>
    <w:rsid w:val="00CE3DF2"/>
    <w:rsid w:val="00CE3F6C"/>
    <w:rsid w:val="00CE5905"/>
    <w:rsid w:val="00CE7561"/>
    <w:rsid w:val="00CF1354"/>
    <w:rsid w:val="00CF3332"/>
    <w:rsid w:val="00CF3B1F"/>
    <w:rsid w:val="00CF3BF6"/>
    <w:rsid w:val="00CF46BC"/>
    <w:rsid w:val="00CF4E02"/>
    <w:rsid w:val="00CF4E77"/>
    <w:rsid w:val="00CF50AB"/>
    <w:rsid w:val="00CF625B"/>
    <w:rsid w:val="00CF687E"/>
    <w:rsid w:val="00CF7216"/>
    <w:rsid w:val="00CF7673"/>
    <w:rsid w:val="00D00339"/>
    <w:rsid w:val="00D0194F"/>
    <w:rsid w:val="00D0252F"/>
    <w:rsid w:val="00D02F7A"/>
    <w:rsid w:val="00D0339E"/>
    <w:rsid w:val="00D0349B"/>
    <w:rsid w:val="00D03CBF"/>
    <w:rsid w:val="00D04434"/>
    <w:rsid w:val="00D04BD0"/>
    <w:rsid w:val="00D07CE6"/>
    <w:rsid w:val="00D1001F"/>
    <w:rsid w:val="00D10249"/>
    <w:rsid w:val="00D1108E"/>
    <w:rsid w:val="00D115C3"/>
    <w:rsid w:val="00D11897"/>
    <w:rsid w:val="00D11F71"/>
    <w:rsid w:val="00D13135"/>
    <w:rsid w:val="00D13A1F"/>
    <w:rsid w:val="00D13ABF"/>
    <w:rsid w:val="00D13E4E"/>
    <w:rsid w:val="00D15089"/>
    <w:rsid w:val="00D1723B"/>
    <w:rsid w:val="00D215AD"/>
    <w:rsid w:val="00D21D54"/>
    <w:rsid w:val="00D22874"/>
    <w:rsid w:val="00D22FBA"/>
    <w:rsid w:val="00D239A7"/>
    <w:rsid w:val="00D23F47"/>
    <w:rsid w:val="00D2503E"/>
    <w:rsid w:val="00D25B3F"/>
    <w:rsid w:val="00D3005B"/>
    <w:rsid w:val="00D3101D"/>
    <w:rsid w:val="00D32166"/>
    <w:rsid w:val="00D33059"/>
    <w:rsid w:val="00D35234"/>
    <w:rsid w:val="00D35F56"/>
    <w:rsid w:val="00D36E71"/>
    <w:rsid w:val="00D37D87"/>
    <w:rsid w:val="00D40B33"/>
    <w:rsid w:val="00D426CB"/>
    <w:rsid w:val="00D4318F"/>
    <w:rsid w:val="00D438BF"/>
    <w:rsid w:val="00D440F8"/>
    <w:rsid w:val="00D45637"/>
    <w:rsid w:val="00D46DC9"/>
    <w:rsid w:val="00D46FA5"/>
    <w:rsid w:val="00D477AC"/>
    <w:rsid w:val="00D50035"/>
    <w:rsid w:val="00D501A9"/>
    <w:rsid w:val="00D511FF"/>
    <w:rsid w:val="00D51446"/>
    <w:rsid w:val="00D51F0B"/>
    <w:rsid w:val="00D537D6"/>
    <w:rsid w:val="00D546FF"/>
    <w:rsid w:val="00D54AF4"/>
    <w:rsid w:val="00D55AD5"/>
    <w:rsid w:val="00D55B51"/>
    <w:rsid w:val="00D55C96"/>
    <w:rsid w:val="00D576CA"/>
    <w:rsid w:val="00D601A6"/>
    <w:rsid w:val="00D60E13"/>
    <w:rsid w:val="00D61AF5"/>
    <w:rsid w:val="00D62CD5"/>
    <w:rsid w:val="00D63268"/>
    <w:rsid w:val="00D63C72"/>
    <w:rsid w:val="00D6435F"/>
    <w:rsid w:val="00D64A1D"/>
    <w:rsid w:val="00D652B5"/>
    <w:rsid w:val="00D66147"/>
    <w:rsid w:val="00D66155"/>
    <w:rsid w:val="00D661B0"/>
    <w:rsid w:val="00D708B0"/>
    <w:rsid w:val="00D70E73"/>
    <w:rsid w:val="00D71BB9"/>
    <w:rsid w:val="00D723D7"/>
    <w:rsid w:val="00D73181"/>
    <w:rsid w:val="00D75A8B"/>
    <w:rsid w:val="00D75AEE"/>
    <w:rsid w:val="00D76F86"/>
    <w:rsid w:val="00D77B1D"/>
    <w:rsid w:val="00D8021F"/>
    <w:rsid w:val="00D80383"/>
    <w:rsid w:val="00D815D6"/>
    <w:rsid w:val="00D81F3D"/>
    <w:rsid w:val="00D8203B"/>
    <w:rsid w:val="00D823C6"/>
    <w:rsid w:val="00D83426"/>
    <w:rsid w:val="00D85EF7"/>
    <w:rsid w:val="00D86CA3"/>
    <w:rsid w:val="00D871CE"/>
    <w:rsid w:val="00D9196D"/>
    <w:rsid w:val="00D920A7"/>
    <w:rsid w:val="00D92982"/>
    <w:rsid w:val="00D93E15"/>
    <w:rsid w:val="00D95A22"/>
    <w:rsid w:val="00D965C0"/>
    <w:rsid w:val="00D9694C"/>
    <w:rsid w:val="00DA0701"/>
    <w:rsid w:val="00DA305E"/>
    <w:rsid w:val="00DA5007"/>
    <w:rsid w:val="00DA536E"/>
    <w:rsid w:val="00DA5417"/>
    <w:rsid w:val="00DA56E8"/>
    <w:rsid w:val="00DA67A6"/>
    <w:rsid w:val="00DB06D8"/>
    <w:rsid w:val="00DB0A9F"/>
    <w:rsid w:val="00DB18F2"/>
    <w:rsid w:val="00DB2B15"/>
    <w:rsid w:val="00DB377D"/>
    <w:rsid w:val="00DB7182"/>
    <w:rsid w:val="00DB7A15"/>
    <w:rsid w:val="00DC04F7"/>
    <w:rsid w:val="00DC21E1"/>
    <w:rsid w:val="00DC2396"/>
    <w:rsid w:val="00DC2D36"/>
    <w:rsid w:val="00DC33E4"/>
    <w:rsid w:val="00DC3DD8"/>
    <w:rsid w:val="00DC444D"/>
    <w:rsid w:val="00DC53EF"/>
    <w:rsid w:val="00DC552C"/>
    <w:rsid w:val="00DC6843"/>
    <w:rsid w:val="00DC6D71"/>
    <w:rsid w:val="00DC7B30"/>
    <w:rsid w:val="00DC7FEA"/>
    <w:rsid w:val="00DD1F9F"/>
    <w:rsid w:val="00DD288E"/>
    <w:rsid w:val="00DD7867"/>
    <w:rsid w:val="00DE227E"/>
    <w:rsid w:val="00DE3A33"/>
    <w:rsid w:val="00DE5608"/>
    <w:rsid w:val="00DE58D0"/>
    <w:rsid w:val="00DE654F"/>
    <w:rsid w:val="00DF086B"/>
    <w:rsid w:val="00DF0B6E"/>
    <w:rsid w:val="00DF15E0"/>
    <w:rsid w:val="00DF20A7"/>
    <w:rsid w:val="00DF37A0"/>
    <w:rsid w:val="00DF3F1F"/>
    <w:rsid w:val="00DF5C56"/>
    <w:rsid w:val="00E008FB"/>
    <w:rsid w:val="00E009BE"/>
    <w:rsid w:val="00E02CFE"/>
    <w:rsid w:val="00E03DCD"/>
    <w:rsid w:val="00E05B34"/>
    <w:rsid w:val="00E05B4A"/>
    <w:rsid w:val="00E072F4"/>
    <w:rsid w:val="00E110E7"/>
    <w:rsid w:val="00E11B20"/>
    <w:rsid w:val="00E12DFF"/>
    <w:rsid w:val="00E141E3"/>
    <w:rsid w:val="00E156FA"/>
    <w:rsid w:val="00E174CA"/>
    <w:rsid w:val="00E17970"/>
    <w:rsid w:val="00E17B45"/>
    <w:rsid w:val="00E17FA2"/>
    <w:rsid w:val="00E22330"/>
    <w:rsid w:val="00E25B80"/>
    <w:rsid w:val="00E2769E"/>
    <w:rsid w:val="00E30776"/>
    <w:rsid w:val="00E30A29"/>
    <w:rsid w:val="00E30B5A"/>
    <w:rsid w:val="00E3123D"/>
    <w:rsid w:val="00E31461"/>
    <w:rsid w:val="00E3193D"/>
    <w:rsid w:val="00E31C0F"/>
    <w:rsid w:val="00E31D43"/>
    <w:rsid w:val="00E32608"/>
    <w:rsid w:val="00E328C4"/>
    <w:rsid w:val="00E32C7B"/>
    <w:rsid w:val="00E33DDD"/>
    <w:rsid w:val="00E33E4A"/>
    <w:rsid w:val="00E34188"/>
    <w:rsid w:val="00E345CD"/>
    <w:rsid w:val="00E34B6E"/>
    <w:rsid w:val="00E35559"/>
    <w:rsid w:val="00E36156"/>
    <w:rsid w:val="00E371BC"/>
    <w:rsid w:val="00E3723A"/>
    <w:rsid w:val="00E372E0"/>
    <w:rsid w:val="00E37860"/>
    <w:rsid w:val="00E41503"/>
    <w:rsid w:val="00E420A3"/>
    <w:rsid w:val="00E446F1"/>
    <w:rsid w:val="00E44B94"/>
    <w:rsid w:val="00E46886"/>
    <w:rsid w:val="00E47AEF"/>
    <w:rsid w:val="00E52397"/>
    <w:rsid w:val="00E53037"/>
    <w:rsid w:val="00E53B29"/>
    <w:rsid w:val="00E53B75"/>
    <w:rsid w:val="00E547B7"/>
    <w:rsid w:val="00E54E3B"/>
    <w:rsid w:val="00E557CC"/>
    <w:rsid w:val="00E57565"/>
    <w:rsid w:val="00E57A1C"/>
    <w:rsid w:val="00E604AE"/>
    <w:rsid w:val="00E62692"/>
    <w:rsid w:val="00E62B73"/>
    <w:rsid w:val="00E63838"/>
    <w:rsid w:val="00E64022"/>
    <w:rsid w:val="00E64434"/>
    <w:rsid w:val="00E65796"/>
    <w:rsid w:val="00E666C9"/>
    <w:rsid w:val="00E674EE"/>
    <w:rsid w:val="00E67C51"/>
    <w:rsid w:val="00E70D86"/>
    <w:rsid w:val="00E7294A"/>
    <w:rsid w:val="00E72EFC"/>
    <w:rsid w:val="00E732FD"/>
    <w:rsid w:val="00E758EC"/>
    <w:rsid w:val="00E7599C"/>
    <w:rsid w:val="00E76569"/>
    <w:rsid w:val="00E81B9B"/>
    <w:rsid w:val="00E8234C"/>
    <w:rsid w:val="00E83AA9"/>
    <w:rsid w:val="00E83BE0"/>
    <w:rsid w:val="00E85928"/>
    <w:rsid w:val="00E87822"/>
    <w:rsid w:val="00E90395"/>
    <w:rsid w:val="00E90E49"/>
    <w:rsid w:val="00E91756"/>
    <w:rsid w:val="00E917F9"/>
    <w:rsid w:val="00E91E36"/>
    <w:rsid w:val="00E9291C"/>
    <w:rsid w:val="00E93FFE"/>
    <w:rsid w:val="00E94B98"/>
    <w:rsid w:val="00E94F8A"/>
    <w:rsid w:val="00E95EE7"/>
    <w:rsid w:val="00E9719C"/>
    <w:rsid w:val="00EA3284"/>
    <w:rsid w:val="00EA5B73"/>
    <w:rsid w:val="00EA6E0E"/>
    <w:rsid w:val="00EA7A41"/>
    <w:rsid w:val="00EB077B"/>
    <w:rsid w:val="00EB3697"/>
    <w:rsid w:val="00EB45F9"/>
    <w:rsid w:val="00EB4EA2"/>
    <w:rsid w:val="00EB62EC"/>
    <w:rsid w:val="00EB6361"/>
    <w:rsid w:val="00EB694F"/>
    <w:rsid w:val="00EB7925"/>
    <w:rsid w:val="00EC1469"/>
    <w:rsid w:val="00EC27C6"/>
    <w:rsid w:val="00EC38A0"/>
    <w:rsid w:val="00EC4207"/>
    <w:rsid w:val="00EC4A0B"/>
    <w:rsid w:val="00EC4A1E"/>
    <w:rsid w:val="00EC4C96"/>
    <w:rsid w:val="00EC5653"/>
    <w:rsid w:val="00EC60B5"/>
    <w:rsid w:val="00EC66B4"/>
    <w:rsid w:val="00EC71CE"/>
    <w:rsid w:val="00EC7304"/>
    <w:rsid w:val="00EC7CBE"/>
    <w:rsid w:val="00ED1006"/>
    <w:rsid w:val="00ED129F"/>
    <w:rsid w:val="00ED5DF4"/>
    <w:rsid w:val="00ED6E06"/>
    <w:rsid w:val="00EE0956"/>
    <w:rsid w:val="00EE1975"/>
    <w:rsid w:val="00EE1BBE"/>
    <w:rsid w:val="00EE22C9"/>
    <w:rsid w:val="00EE25E7"/>
    <w:rsid w:val="00EE57B6"/>
    <w:rsid w:val="00EE6379"/>
    <w:rsid w:val="00EE6561"/>
    <w:rsid w:val="00EE691E"/>
    <w:rsid w:val="00EF0038"/>
    <w:rsid w:val="00EF10BC"/>
    <w:rsid w:val="00EF18FE"/>
    <w:rsid w:val="00EF2E6C"/>
    <w:rsid w:val="00EF2EE3"/>
    <w:rsid w:val="00EF40ED"/>
    <w:rsid w:val="00EF45A4"/>
    <w:rsid w:val="00EF5787"/>
    <w:rsid w:val="00EF60D0"/>
    <w:rsid w:val="00EF669D"/>
    <w:rsid w:val="00EF7136"/>
    <w:rsid w:val="00F0201B"/>
    <w:rsid w:val="00F020A9"/>
    <w:rsid w:val="00F03E8C"/>
    <w:rsid w:val="00F0528D"/>
    <w:rsid w:val="00F05792"/>
    <w:rsid w:val="00F06C67"/>
    <w:rsid w:val="00F06DFD"/>
    <w:rsid w:val="00F071D1"/>
    <w:rsid w:val="00F07533"/>
    <w:rsid w:val="00F100FF"/>
    <w:rsid w:val="00F10629"/>
    <w:rsid w:val="00F11A7A"/>
    <w:rsid w:val="00F12D76"/>
    <w:rsid w:val="00F15FA5"/>
    <w:rsid w:val="00F1625B"/>
    <w:rsid w:val="00F209B7"/>
    <w:rsid w:val="00F20C4B"/>
    <w:rsid w:val="00F214CF"/>
    <w:rsid w:val="00F21C47"/>
    <w:rsid w:val="00F2376F"/>
    <w:rsid w:val="00F243D8"/>
    <w:rsid w:val="00F24E55"/>
    <w:rsid w:val="00F30828"/>
    <w:rsid w:val="00F30E66"/>
    <w:rsid w:val="00F310A0"/>
    <w:rsid w:val="00F313D6"/>
    <w:rsid w:val="00F31E10"/>
    <w:rsid w:val="00F33DF2"/>
    <w:rsid w:val="00F34D6D"/>
    <w:rsid w:val="00F35233"/>
    <w:rsid w:val="00F35EF6"/>
    <w:rsid w:val="00F40806"/>
    <w:rsid w:val="00F40C33"/>
    <w:rsid w:val="00F40F0C"/>
    <w:rsid w:val="00F42FD2"/>
    <w:rsid w:val="00F4350D"/>
    <w:rsid w:val="00F4352A"/>
    <w:rsid w:val="00F469E1"/>
    <w:rsid w:val="00F46FA4"/>
    <w:rsid w:val="00F4766C"/>
    <w:rsid w:val="00F47D9C"/>
    <w:rsid w:val="00F507D1"/>
    <w:rsid w:val="00F51128"/>
    <w:rsid w:val="00F519CE"/>
    <w:rsid w:val="00F51ADA"/>
    <w:rsid w:val="00F51CB3"/>
    <w:rsid w:val="00F52394"/>
    <w:rsid w:val="00F539FE"/>
    <w:rsid w:val="00F54C67"/>
    <w:rsid w:val="00F54F7C"/>
    <w:rsid w:val="00F557B4"/>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68D2"/>
    <w:rsid w:val="00F66DDF"/>
    <w:rsid w:val="00F67F53"/>
    <w:rsid w:val="00F703BE"/>
    <w:rsid w:val="00F71F69"/>
    <w:rsid w:val="00F72052"/>
    <w:rsid w:val="00F72A1E"/>
    <w:rsid w:val="00F72A83"/>
    <w:rsid w:val="00F72B72"/>
    <w:rsid w:val="00F73C22"/>
    <w:rsid w:val="00F73EDE"/>
    <w:rsid w:val="00F74BB9"/>
    <w:rsid w:val="00F75582"/>
    <w:rsid w:val="00F75A7F"/>
    <w:rsid w:val="00F76EFA"/>
    <w:rsid w:val="00F804BE"/>
    <w:rsid w:val="00F817CE"/>
    <w:rsid w:val="00F8276E"/>
    <w:rsid w:val="00F8436C"/>
    <w:rsid w:val="00F8456C"/>
    <w:rsid w:val="00F85033"/>
    <w:rsid w:val="00F859D8"/>
    <w:rsid w:val="00F868F5"/>
    <w:rsid w:val="00F9056A"/>
    <w:rsid w:val="00F9083B"/>
    <w:rsid w:val="00F90F8D"/>
    <w:rsid w:val="00F92782"/>
    <w:rsid w:val="00F92798"/>
    <w:rsid w:val="00F93AA9"/>
    <w:rsid w:val="00F968DC"/>
    <w:rsid w:val="00F96985"/>
    <w:rsid w:val="00F96EAE"/>
    <w:rsid w:val="00F96EFF"/>
    <w:rsid w:val="00F97838"/>
    <w:rsid w:val="00F97BE1"/>
    <w:rsid w:val="00FA05D5"/>
    <w:rsid w:val="00FA0C03"/>
    <w:rsid w:val="00FA12B0"/>
    <w:rsid w:val="00FA1A08"/>
    <w:rsid w:val="00FA1DD1"/>
    <w:rsid w:val="00FA2BB3"/>
    <w:rsid w:val="00FA5D49"/>
    <w:rsid w:val="00FA7B90"/>
    <w:rsid w:val="00FB005F"/>
    <w:rsid w:val="00FB244D"/>
    <w:rsid w:val="00FB2583"/>
    <w:rsid w:val="00FB2629"/>
    <w:rsid w:val="00FB3D52"/>
    <w:rsid w:val="00FB4589"/>
    <w:rsid w:val="00FB46E6"/>
    <w:rsid w:val="00FB4C80"/>
    <w:rsid w:val="00FB6A6A"/>
    <w:rsid w:val="00FB6ACF"/>
    <w:rsid w:val="00FC0206"/>
    <w:rsid w:val="00FC076D"/>
    <w:rsid w:val="00FC4767"/>
    <w:rsid w:val="00FC4AD0"/>
    <w:rsid w:val="00FC5AA0"/>
    <w:rsid w:val="00FC7429"/>
    <w:rsid w:val="00FD07F6"/>
    <w:rsid w:val="00FD14F7"/>
    <w:rsid w:val="00FD1D12"/>
    <w:rsid w:val="00FD1EC8"/>
    <w:rsid w:val="00FD20E5"/>
    <w:rsid w:val="00FD21A9"/>
    <w:rsid w:val="00FD3FB3"/>
    <w:rsid w:val="00FD434C"/>
    <w:rsid w:val="00FD47ED"/>
    <w:rsid w:val="00FD4A9B"/>
    <w:rsid w:val="00FD74DB"/>
    <w:rsid w:val="00FD7660"/>
    <w:rsid w:val="00FD7F47"/>
    <w:rsid w:val="00FE0655"/>
    <w:rsid w:val="00FE1507"/>
    <w:rsid w:val="00FE20DB"/>
    <w:rsid w:val="00FE2365"/>
    <w:rsid w:val="00FE2722"/>
    <w:rsid w:val="00FE2927"/>
    <w:rsid w:val="00FE4C7B"/>
    <w:rsid w:val="00FE7336"/>
    <w:rsid w:val="00FE787C"/>
    <w:rsid w:val="00FF05B7"/>
    <w:rsid w:val="00FF1440"/>
    <w:rsid w:val="00FF1E31"/>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834"/>
    <w:pPr>
      <w:spacing w:after="200" w:line="276" w:lineRule="auto"/>
    </w:pPr>
    <w:rPr>
      <w:rFonts w:asciiTheme="minorHAnsi" w:eastAsiaTheme="minorEastAsia" w:hAnsiTheme="minorHAnsi" w:cstheme="minorBidi"/>
      <w:sz w:val="22"/>
      <w:szCs w:val="22"/>
      <w:lang w:val="en-GB"/>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3908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083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789c8df-cd92-43c1-8a83-195dbc0f0a0a"/>
    <ds:schemaRef ds:uri="08b2df90-05d3-4030-90d4-c9feeb4a1cd9"/>
    <ds:schemaRef ds:uri="http://www.w3.org/XML/1998/namespace"/>
    <ds:schemaRef ds:uri="http://purl.org/dc/dcmitype/"/>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6BCAFB5F-B4CE-4FD3-9145-46702C0F6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2102</Words>
  <Characters>11134</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Quan Kuang</cp:lastModifiedBy>
  <cp:revision>4</cp:revision>
  <cp:lastPrinted>2008-01-31T06:09:00Z</cp:lastPrinted>
  <dcterms:created xsi:type="dcterms:W3CDTF">2019-11-08T12:26:00Z</dcterms:created>
  <dcterms:modified xsi:type="dcterms:W3CDTF">2019-11-08T12:31:00Z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